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F4" w:rsidRDefault="005A6FF4" w:rsidP="005A6FF4">
      <w:pPr>
        <w:pStyle w:val="Heading1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id-ID"/>
        </w:rPr>
        <w:t xml:space="preserve">ABSTRAK </w:t>
      </w:r>
    </w:p>
    <w:p w:rsidR="005A6FF4" w:rsidRDefault="005A6FF4" w:rsidP="005A6FF4">
      <w:pPr>
        <w:pStyle w:val="Heading1"/>
        <w:spacing w:line="240" w:lineRule="auto"/>
        <w:ind w:left="990" w:hanging="990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id-ID"/>
        </w:rPr>
      </w:pPr>
      <w:bookmarkStart w:id="0" w:name="_GoBack"/>
      <w:r>
        <w:rPr>
          <w:rFonts w:ascii="Times New Roman" w:eastAsia="Times New Roman" w:hAnsi="Times New Roman"/>
          <w:bCs/>
          <w:color w:val="auto"/>
          <w:sz w:val="24"/>
          <w:szCs w:val="24"/>
          <w:lang w:val="id-ID"/>
        </w:rPr>
        <w:t xml:space="preserve">Amrollah, 2021, </w:t>
      </w:r>
      <w:r>
        <w:rPr>
          <w:rFonts w:ascii="Times New Roman" w:eastAsia="Times New Roman" w:hAnsi="Times New Roman"/>
          <w:bCs/>
          <w:i/>
          <w:iCs/>
          <w:color w:val="auto"/>
          <w:sz w:val="24"/>
          <w:szCs w:val="24"/>
          <w:lang w:val="id-ID"/>
        </w:rPr>
        <w:t>Implementasi Kurikulun Pesantren Berbasis Iktisyaf Dalam Meningkatkan Potensi Baca Kitab Kuning Di Pondok Pesantren Puncak Darussalam Potoan Daya Palengaan Pamekasan,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val="id-ID"/>
        </w:rPr>
        <w:t xml:space="preserve"> Skripsi, Program Studi Manajemen Pendidikan Islam, Fakultas Tarbiyah, IAIN Madura, Pembimbing: Dr. H. Zainuddin Syarif, M.Ag.</w:t>
      </w:r>
    </w:p>
    <w:p w:rsidR="005A6FF4" w:rsidRDefault="005A6FF4" w:rsidP="005A6FF4">
      <w:pPr>
        <w:pStyle w:val="Heading1"/>
        <w:spacing w:line="240" w:lineRule="auto"/>
        <w:rPr>
          <w:rFonts w:ascii="Times New Roman" w:eastAsia="Times New Roman" w:hAnsi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  <w:szCs w:val="24"/>
        </w:rPr>
        <w:t>Kurikulum</w:t>
      </w:r>
      <w:proofErr w:type="spellEnd"/>
      <w:r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  <w:szCs w:val="24"/>
        </w:rPr>
        <w:t>Pesantren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iCs/>
          <w:color w:val="auto"/>
          <w:sz w:val="24"/>
          <w:szCs w:val="24"/>
        </w:rPr>
        <w:t>Iktisyaf</w:t>
      </w:r>
      <w:proofErr w:type="spellEnd"/>
      <w:r>
        <w:rPr>
          <w:rFonts w:ascii="Times New Roman" w:eastAsia="Times New Roman" w:hAnsi="Times New Roman"/>
          <w:bCs/>
          <w:i/>
          <w:i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  <w:szCs w:val="24"/>
        </w:rPr>
        <w:t>Kitab</w:t>
      </w:r>
      <w:proofErr w:type="spellEnd"/>
      <w:r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  <w:szCs w:val="24"/>
        </w:rPr>
        <w:t>Kuning</w:t>
      </w:r>
      <w:proofErr w:type="spellEnd"/>
      <w:r>
        <w:rPr>
          <w:rFonts w:ascii="Times New Roman" w:eastAsia="Times New Roman" w:hAnsi="Times New Roman"/>
          <w:bCs/>
          <w:color w:val="auto"/>
          <w:sz w:val="24"/>
          <w:szCs w:val="24"/>
        </w:rPr>
        <w:t>.</w:t>
      </w:r>
    </w:p>
    <w:p w:rsidR="005A6FF4" w:rsidRDefault="005A6FF4" w:rsidP="005A6FF4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iktisyaf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terpengruh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FF4" w:rsidRDefault="005A6FF4" w:rsidP="005A6FF4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Perencanaan Implementasi Kurikulum Pesantren Berbasis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Iktisyaf?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Bagaiamana Proses Implementasi Kurikulum Pesantren Berbasis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Iktisyaf </w:t>
      </w:r>
      <w:r>
        <w:rPr>
          <w:rFonts w:ascii="Times New Roman" w:hAnsi="Times New Roman" w:cs="Times New Roman"/>
          <w:sz w:val="24"/>
          <w:szCs w:val="24"/>
          <w:lang w:val="id-ID"/>
        </w:rPr>
        <w:t>Dalam Meningkatkan Potensi Baca Kitab Kuning Di Pondok Pesantren Puncak Darussalam Potoan Daya Palengaan Pamekasan?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 Saja Faktor Pendukung dan Penghambat Implementasi Kurikulum Pesantren Berbasis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Iktisyaf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Meningkatkan Potensi Baca Kitab Kuning Di Pondok Pesantren Puncak Darussalam Potoan Daya Palengaan Pamekasan?</w:t>
      </w:r>
    </w:p>
    <w:p w:rsidR="005A6FF4" w:rsidRDefault="005A6FF4" w:rsidP="005A6FF4">
      <w:pPr>
        <w:spacing w:line="240" w:lineRule="auto"/>
        <w:jc w:val="lowKashida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Perencanaan Implementasi Kurikulum Pesantren Berbasis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Iktisyaf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hadiri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Iktisyaf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training of training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placement test,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terintegrasi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pembeljaran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interview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sekligus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lomba-lomba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Iktisyaf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iktisyaf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seprti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kemalasan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bookmarkEnd w:id="0"/>
    <w:p w:rsidR="00105723" w:rsidRPr="005A6FF4" w:rsidRDefault="00105723" w:rsidP="005A6FF4"/>
    <w:sectPr w:rsidR="00105723" w:rsidRPr="005A6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0D"/>
    <w:rsid w:val="00105723"/>
    <w:rsid w:val="005A6FF4"/>
    <w:rsid w:val="00D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D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D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F4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A6FF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D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D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F4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A6FF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Kirom</dc:creator>
  <cp:lastModifiedBy>Kirom</cp:lastModifiedBy>
  <cp:revision>1</cp:revision>
  <cp:lastPrinted>2021-06-07T13:08:00Z</cp:lastPrinted>
  <dcterms:created xsi:type="dcterms:W3CDTF">2021-06-07T12:44:00Z</dcterms:created>
  <dcterms:modified xsi:type="dcterms:W3CDTF">2021-06-07T13:10:00Z</dcterms:modified>
</cp:coreProperties>
</file>