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E3" w:rsidRDefault="00066CE3" w:rsidP="00066C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066CE3" w:rsidRDefault="00066CE3" w:rsidP="00066CE3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Qonitatun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F, 2021,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Manager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Matsaratul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Huda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Panempan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Pamekasan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(IAIN) Madura.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Atiqullah</w:t>
      </w:r>
      <w:proofErr w:type="spellEnd"/>
      <w:r>
        <w:rPr>
          <w:rFonts w:ascii="Times New Roman" w:hAnsi="Times New Roman" w:cs="Times New Roman"/>
          <w:sz w:val="24"/>
          <w:szCs w:val="24"/>
        </w:rPr>
        <w:t>, S. Ag, M. Pd.</w:t>
      </w:r>
    </w:p>
    <w:p w:rsidR="00066CE3" w:rsidRDefault="00066CE3" w:rsidP="00066CE3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6CE3" w:rsidRDefault="00066CE3" w:rsidP="00066CE3">
      <w:pPr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6CE3" w:rsidRDefault="00066CE3" w:rsidP="00066CE3">
      <w:pPr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non-participant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6CE3" w:rsidRPr="00AD2BE5" w:rsidRDefault="00066CE3" w:rsidP="00066CE3">
      <w:pPr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Matsaratul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Matsaratul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Huda,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berjema’ah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jum’at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terprogram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CE3" w:rsidRDefault="00066CE3" w:rsidP="00066CE3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3200" w:rsidRDefault="00D33200"/>
    <w:sectPr w:rsidR="00D33200" w:rsidSect="00066CE3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66CE3"/>
    <w:rsid w:val="00066CE3"/>
    <w:rsid w:val="007D3F87"/>
    <w:rsid w:val="00881D7C"/>
    <w:rsid w:val="009002BD"/>
    <w:rsid w:val="00D33200"/>
    <w:rsid w:val="00F9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E3"/>
    <w:pPr>
      <w:ind w:left="425" w:hanging="357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2021-04-23T19:17:00Z</dcterms:created>
  <dcterms:modified xsi:type="dcterms:W3CDTF">2021-04-23T19:18:00Z</dcterms:modified>
</cp:coreProperties>
</file>