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BB" w:rsidRDefault="00AB60BB" w:rsidP="00AB60BB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ABSTRAK</w:t>
      </w:r>
    </w:p>
    <w:p w:rsidR="00AB60BB" w:rsidRPr="00567F31" w:rsidRDefault="00AB60BB" w:rsidP="00AB60BB">
      <w:pPr>
        <w:rPr>
          <w:b/>
          <w:bCs/>
          <w:lang w:val="id-ID"/>
        </w:rPr>
      </w:pPr>
    </w:p>
    <w:p w:rsidR="00AB60BB" w:rsidRPr="00567F31" w:rsidRDefault="00AB60BB" w:rsidP="00AB60BB">
      <w:pPr>
        <w:spacing w:line="240" w:lineRule="auto"/>
        <w:jc w:val="both"/>
        <w:rPr>
          <w:rFonts w:ascii="TimesNewRomanPSMT" w:hAnsi="TimesNewRomanPSMT"/>
          <w:color w:val="000000"/>
          <w:szCs w:val="24"/>
          <w:lang w:val="id-ID"/>
        </w:rPr>
      </w:pPr>
      <w:r w:rsidRPr="00567F31">
        <w:rPr>
          <w:rFonts w:ascii="TimesNewRomanPSMT" w:hAnsi="TimesNewRomanPSMT"/>
          <w:color w:val="000000"/>
          <w:szCs w:val="24"/>
          <w:lang w:val="id-ID"/>
        </w:rPr>
        <w:t xml:space="preserve">Mohamad Hafidzur Rahman, 2023, </w:t>
      </w:r>
      <w:r w:rsidRPr="004B3EA8">
        <w:rPr>
          <w:bCs/>
          <w:lang w:val="id-ID"/>
        </w:rPr>
        <w:t xml:space="preserve">Analisis Term </w:t>
      </w:r>
      <w:r w:rsidRPr="004B3EA8">
        <w:rPr>
          <w:bCs/>
          <w:i/>
          <w:iCs/>
          <w:lang w:val="id-ID"/>
        </w:rPr>
        <w:t>Milla</w:t>
      </w:r>
      <w:r>
        <w:rPr>
          <w:bCs/>
          <w:i/>
          <w:iCs/>
          <w:lang w:val="id-ID"/>
        </w:rPr>
        <w:t>h</w:t>
      </w:r>
      <w:r w:rsidRPr="00560611">
        <w:rPr>
          <w:bCs/>
          <w:i/>
          <w:iCs/>
          <w:lang w:val="id-ID"/>
        </w:rPr>
        <w:t xml:space="preserve"> </w:t>
      </w:r>
      <w:r w:rsidRPr="004B3EA8">
        <w:rPr>
          <w:bCs/>
          <w:lang w:val="id-ID"/>
        </w:rPr>
        <w:t>Perspektif Semantik Toshihiko Izutsu</w:t>
      </w:r>
      <w:r w:rsidRPr="00567F31">
        <w:rPr>
          <w:rFonts w:ascii="TimesNewRomanPSMT" w:hAnsi="TimesNewRomanPSMT"/>
          <w:color w:val="000000"/>
          <w:szCs w:val="24"/>
          <w:lang w:val="id-ID"/>
        </w:rPr>
        <w:t>, Skripsi, Program Studi Ilmu Al-Qur’an dan Tafsir, Fakultas Ushuluddin dan</w:t>
      </w:r>
      <w:r w:rsidRPr="00560611">
        <w:rPr>
          <w:rFonts w:ascii="TimesNewRomanPSMT" w:hAnsi="TimesNewRomanPSMT"/>
          <w:color w:val="000000"/>
          <w:szCs w:val="24"/>
          <w:lang w:val="id-ID"/>
        </w:rPr>
        <w:t xml:space="preserve"> </w:t>
      </w:r>
      <w:r w:rsidRPr="00567F31">
        <w:rPr>
          <w:rFonts w:ascii="TimesNewRomanPSMT" w:hAnsi="TimesNewRomanPSMT"/>
          <w:color w:val="000000"/>
          <w:szCs w:val="24"/>
          <w:lang w:val="id-ID"/>
        </w:rPr>
        <w:t>Dakwah, Dosen Pembimbing: Dr. Zaglul Fitrian, Lc., MA.</w:t>
      </w:r>
    </w:p>
    <w:p w:rsidR="00AB60BB" w:rsidRPr="00567F31" w:rsidRDefault="00AB60BB" w:rsidP="00AB60BB">
      <w:pPr>
        <w:spacing w:line="240" w:lineRule="auto"/>
        <w:jc w:val="both"/>
        <w:rPr>
          <w:rFonts w:ascii="TimesNewRomanPSMT" w:hAnsi="TimesNewRomanPSMT"/>
          <w:color w:val="000000"/>
          <w:szCs w:val="24"/>
          <w:lang w:val="id-ID"/>
        </w:rPr>
      </w:pPr>
    </w:p>
    <w:p w:rsidR="00AB60BB" w:rsidRDefault="00AB60BB" w:rsidP="00AB60BB">
      <w:pPr>
        <w:spacing w:line="240" w:lineRule="auto"/>
        <w:jc w:val="both"/>
        <w:rPr>
          <w:rFonts w:ascii="TimesNewRomanPS-BoldMT" w:hAnsi="TimesNewRomanPS-BoldMT"/>
          <w:b/>
          <w:bCs/>
          <w:color w:val="000000"/>
          <w:szCs w:val="24"/>
        </w:rPr>
      </w:pPr>
      <w:r w:rsidRPr="00CC04AD">
        <w:rPr>
          <w:rFonts w:ascii="TimesNewRomanPSMT" w:hAnsi="TimesNewRomanPSMT"/>
          <w:b/>
          <w:color w:val="000000"/>
          <w:szCs w:val="24"/>
        </w:rPr>
        <w:t xml:space="preserve">Kata </w:t>
      </w:r>
      <w:proofErr w:type="spellStart"/>
      <w:r w:rsidRPr="00CC04AD">
        <w:rPr>
          <w:rFonts w:ascii="TimesNewRomanPSMT" w:hAnsi="TimesNewRomanPSMT"/>
          <w:b/>
          <w:color w:val="000000"/>
          <w:szCs w:val="24"/>
        </w:rPr>
        <w:t>Kunci</w:t>
      </w:r>
      <w:proofErr w:type="gramStart"/>
      <w:r w:rsidRPr="00CC04AD">
        <w:rPr>
          <w:rFonts w:ascii="TimesNewRomanPSMT" w:hAnsi="TimesNewRomanPSMT"/>
          <w:b/>
          <w:color w:val="000000"/>
          <w:szCs w:val="24"/>
        </w:rPr>
        <w:t>:</w:t>
      </w:r>
      <w:r>
        <w:rPr>
          <w:rFonts w:ascii="TimesNewRomanPS-BoldItalicMT" w:hAnsi="TimesNewRomanPS-BoldItalicMT"/>
          <w:b/>
          <w:bCs/>
          <w:i/>
          <w:iCs/>
          <w:color w:val="000000"/>
          <w:szCs w:val="24"/>
        </w:rPr>
        <w:t>Millah</w:t>
      </w:r>
      <w:proofErr w:type="spellEnd"/>
      <w:proofErr w:type="gramEnd"/>
      <w:r w:rsidRPr="00CC04AD">
        <w:rPr>
          <w:rFonts w:ascii="TimesNewRomanPS-BoldItalicMT" w:hAnsi="TimesNewRomanPS-BoldItalicMT"/>
          <w:b/>
          <w:bCs/>
          <w:i/>
          <w:iCs/>
          <w:color w:val="000000"/>
          <w:szCs w:val="24"/>
        </w:rPr>
        <w:t xml:space="preserve">, </w:t>
      </w:r>
      <w:proofErr w:type="spellStart"/>
      <w:r w:rsidRPr="00CC04AD">
        <w:rPr>
          <w:rFonts w:ascii="TimesNewRomanPS-BoldMT" w:hAnsi="TimesNewRomanPS-BoldMT"/>
          <w:b/>
          <w:bCs/>
          <w:color w:val="000000"/>
          <w:szCs w:val="24"/>
        </w:rPr>
        <w:t>Semantik</w:t>
      </w:r>
      <w:proofErr w:type="spellEnd"/>
      <w:r w:rsidRPr="00CC04AD">
        <w:rPr>
          <w:rFonts w:ascii="TimesNewRomanPS-BoldMT" w:hAnsi="TimesNewRomanPS-BoldMT"/>
          <w:b/>
          <w:bCs/>
          <w:color w:val="000000"/>
          <w:szCs w:val="24"/>
        </w:rPr>
        <w:t xml:space="preserve">, Toshihiko </w:t>
      </w:r>
      <w:proofErr w:type="spellStart"/>
      <w:r w:rsidRPr="00CC04AD">
        <w:rPr>
          <w:rFonts w:ascii="TimesNewRomanPS-BoldMT" w:hAnsi="TimesNewRomanPS-BoldMT"/>
          <w:b/>
          <w:bCs/>
          <w:color w:val="000000"/>
          <w:szCs w:val="24"/>
        </w:rPr>
        <w:t>Izutsu</w:t>
      </w:r>
      <w:proofErr w:type="spellEnd"/>
    </w:p>
    <w:p w:rsidR="00AB60BB" w:rsidRDefault="00AB60BB" w:rsidP="00AB60BB">
      <w:pPr>
        <w:spacing w:line="240" w:lineRule="auto"/>
        <w:jc w:val="both"/>
        <w:rPr>
          <w:bCs/>
        </w:rPr>
      </w:pPr>
    </w:p>
    <w:p w:rsidR="00AB60BB" w:rsidRDefault="00AB60BB" w:rsidP="00AB60BB">
      <w:pPr>
        <w:spacing w:line="240" w:lineRule="auto"/>
        <w:ind w:firstLine="567"/>
        <w:jc w:val="both"/>
        <w:rPr>
          <w:lang w:val="en-GB"/>
        </w:rPr>
      </w:pPr>
      <w:r w:rsidRPr="00CC04AD">
        <w:rPr>
          <w:bCs/>
        </w:rPr>
        <w:t xml:space="preserve">Agama </w:t>
      </w:r>
      <w:proofErr w:type="spellStart"/>
      <w:r>
        <w:rPr>
          <w:bCs/>
        </w:rPr>
        <w:t>dalam</w:t>
      </w:r>
      <w:proofErr w:type="spellEnd"/>
      <w:r w:rsidRPr="00CC04AD">
        <w:rPr>
          <w:bCs/>
        </w:rPr>
        <w:t xml:space="preserve"> Al-Qur’an </w:t>
      </w:r>
      <w:proofErr w:type="spellStart"/>
      <w:proofErr w:type="gramStart"/>
      <w:r w:rsidRPr="00CC04AD">
        <w:rPr>
          <w:bCs/>
        </w:rPr>
        <w:t>dengan</w:t>
      </w:r>
      <w:proofErr w:type="spellEnd"/>
      <w:r w:rsidRPr="00CC04AD">
        <w:rPr>
          <w:bCs/>
        </w:rPr>
        <w:t xml:space="preserve">  3</w:t>
      </w:r>
      <w:proofErr w:type="gramEnd"/>
      <w:r w:rsidRPr="00CC04AD">
        <w:rPr>
          <w:bCs/>
        </w:rPr>
        <w:t xml:space="preserve"> </w:t>
      </w:r>
      <w:proofErr w:type="spellStart"/>
      <w:r w:rsidRPr="00CC04AD">
        <w:rPr>
          <w:bCs/>
        </w:rPr>
        <w:t>variasi</w:t>
      </w:r>
      <w:proofErr w:type="spellEnd"/>
      <w:r w:rsidRPr="00CC04AD">
        <w:rPr>
          <w:bCs/>
        </w:rPr>
        <w:t xml:space="preserve"> kata yang </w:t>
      </w:r>
      <w:proofErr w:type="spellStart"/>
      <w:r w:rsidRPr="00CC04AD">
        <w:rPr>
          <w:bCs/>
        </w:rPr>
        <w:t>berbeda</w:t>
      </w:r>
      <w:proofErr w:type="spellEnd"/>
      <w:r w:rsidRPr="00CC04AD">
        <w:rPr>
          <w:bCs/>
        </w:rPr>
        <w:t xml:space="preserve">, </w:t>
      </w:r>
      <w:proofErr w:type="spellStart"/>
      <w:r w:rsidRPr="00CC04AD">
        <w:rPr>
          <w:bCs/>
        </w:rPr>
        <w:t>yaitu</w:t>
      </w:r>
      <w:proofErr w:type="spellEnd"/>
      <w:r w:rsidRPr="00CC04AD">
        <w:rPr>
          <w:bCs/>
        </w:rPr>
        <w:t xml:space="preserve"> </w:t>
      </w:r>
      <w:proofErr w:type="spellStart"/>
      <w:r w:rsidRPr="00CC04AD">
        <w:rPr>
          <w:bCs/>
          <w:i/>
        </w:rPr>
        <w:t>millah</w:t>
      </w:r>
      <w:proofErr w:type="spellEnd"/>
      <w:r w:rsidRPr="00CC04AD">
        <w:rPr>
          <w:bCs/>
          <w:i/>
        </w:rPr>
        <w:t xml:space="preserve">, </w:t>
      </w:r>
      <w:r>
        <w:rPr>
          <w:i/>
          <w:iCs/>
          <w:lang w:val="id-ID"/>
        </w:rPr>
        <w:t xml:space="preserve">dīn </w:t>
      </w:r>
      <w:proofErr w:type="spellStart"/>
      <w:r w:rsidRPr="00CC04AD">
        <w:rPr>
          <w:bCs/>
        </w:rPr>
        <w:t>dan</w:t>
      </w:r>
      <w:proofErr w:type="spellEnd"/>
      <w:r w:rsidRPr="00CC04AD">
        <w:rPr>
          <w:bCs/>
          <w:i/>
        </w:rPr>
        <w:t xml:space="preserve"> </w:t>
      </w:r>
      <w:proofErr w:type="spellStart"/>
      <w:r w:rsidRPr="00CC04AD">
        <w:rPr>
          <w:bCs/>
          <w:i/>
        </w:rPr>
        <w:t>syari’ah</w:t>
      </w:r>
      <w:proofErr w:type="spellEnd"/>
      <w:r w:rsidRPr="00CC04AD">
        <w:rPr>
          <w:bCs/>
          <w:i/>
        </w:rPr>
        <w:t xml:space="preserve">. </w:t>
      </w:r>
      <w:proofErr w:type="spellStart"/>
      <w:proofErr w:type="gramStart"/>
      <w:r w:rsidRPr="00CC04AD">
        <w:rPr>
          <w:bCs/>
          <w:i/>
        </w:rPr>
        <w:t>Millah</w:t>
      </w:r>
      <w:proofErr w:type="spellEnd"/>
      <w:r w:rsidRPr="00CC04AD">
        <w:rPr>
          <w:bCs/>
          <w:i/>
        </w:rPr>
        <w:t xml:space="preserve"> </w:t>
      </w:r>
      <w:proofErr w:type="spellStart"/>
      <w:r w:rsidRPr="00CC04AD">
        <w:rPr>
          <w:bCs/>
        </w:rPr>
        <w:t>menjadi</w:t>
      </w:r>
      <w:proofErr w:type="spellEnd"/>
      <w:r w:rsidRPr="00CC04AD">
        <w:rPr>
          <w:bCs/>
        </w:rPr>
        <w:t xml:space="preserve"> </w:t>
      </w:r>
      <w:proofErr w:type="spellStart"/>
      <w:r w:rsidRPr="00CC04AD">
        <w:rPr>
          <w:bCs/>
        </w:rPr>
        <w:t>pandangan</w:t>
      </w:r>
      <w:proofErr w:type="spellEnd"/>
      <w:r w:rsidRPr="00CC04AD">
        <w:rPr>
          <w:bCs/>
        </w:rPr>
        <w:t xml:space="preserve"> </w:t>
      </w:r>
      <w:proofErr w:type="spellStart"/>
      <w:r w:rsidRPr="00CC04AD">
        <w:rPr>
          <w:bCs/>
        </w:rPr>
        <w:t>untuk</w:t>
      </w:r>
      <w:proofErr w:type="spellEnd"/>
      <w:r w:rsidRPr="00CC04AD">
        <w:rPr>
          <w:bCs/>
        </w:rPr>
        <w:t xml:space="preserve"> </w:t>
      </w:r>
      <w:proofErr w:type="spellStart"/>
      <w:r w:rsidRPr="00CC04AD">
        <w:rPr>
          <w:bCs/>
        </w:rPr>
        <w:t>berlanjut</w:t>
      </w:r>
      <w:proofErr w:type="spellEnd"/>
      <w:r w:rsidRPr="00CC04AD">
        <w:rPr>
          <w:bCs/>
        </w:rPr>
        <w:t xml:space="preserve"> </w:t>
      </w:r>
      <w:proofErr w:type="spellStart"/>
      <w:r w:rsidRPr="00CC04AD">
        <w:rPr>
          <w:bCs/>
        </w:rPr>
        <w:t>pada</w:t>
      </w:r>
      <w:proofErr w:type="spellEnd"/>
      <w:r w:rsidRPr="00CC04AD">
        <w:rPr>
          <w:bCs/>
        </w:rPr>
        <w:t xml:space="preserve"> </w:t>
      </w:r>
      <w:r>
        <w:rPr>
          <w:i/>
          <w:iCs/>
          <w:lang w:val="id-ID"/>
        </w:rPr>
        <w:t xml:space="preserve">dīn </w:t>
      </w:r>
      <w:proofErr w:type="spellStart"/>
      <w:r w:rsidRPr="00CC04AD">
        <w:rPr>
          <w:bCs/>
        </w:rPr>
        <w:t>dan</w:t>
      </w:r>
      <w:proofErr w:type="spellEnd"/>
      <w:r w:rsidRPr="00CC04AD">
        <w:rPr>
          <w:bCs/>
        </w:rPr>
        <w:t xml:space="preserve"> </w:t>
      </w:r>
      <w:proofErr w:type="spellStart"/>
      <w:r w:rsidRPr="00CC04AD">
        <w:rPr>
          <w:bCs/>
          <w:i/>
        </w:rPr>
        <w:t>syari’ah</w:t>
      </w:r>
      <w:proofErr w:type="spellEnd"/>
      <w:r w:rsidRPr="00CC04AD">
        <w:rPr>
          <w:bCs/>
          <w:i/>
        </w:rPr>
        <w:t xml:space="preserve"> </w:t>
      </w:r>
      <w:proofErr w:type="spellStart"/>
      <w:r w:rsidRPr="00CC04AD">
        <w:rPr>
          <w:bCs/>
        </w:rPr>
        <w:t>karena</w:t>
      </w:r>
      <w:proofErr w:type="spellEnd"/>
      <w:r w:rsidRPr="00CC04AD">
        <w:rPr>
          <w:bCs/>
        </w:rPr>
        <w:t xml:space="preserve"> </w:t>
      </w:r>
      <w:proofErr w:type="spellStart"/>
      <w:r w:rsidRPr="00CC04AD">
        <w:rPr>
          <w:bCs/>
          <w:i/>
        </w:rPr>
        <w:t>millah</w:t>
      </w:r>
      <w:proofErr w:type="spellEnd"/>
      <w:r w:rsidRPr="00CC04AD">
        <w:rPr>
          <w:bCs/>
          <w:i/>
        </w:rPr>
        <w:t xml:space="preserve"> </w:t>
      </w:r>
      <w:proofErr w:type="spellStart"/>
      <w:r w:rsidRPr="00CC04AD">
        <w:rPr>
          <w:bCs/>
        </w:rPr>
        <w:t>memberikan</w:t>
      </w:r>
      <w:proofErr w:type="spellEnd"/>
      <w:r w:rsidRPr="00CC04AD">
        <w:rPr>
          <w:bCs/>
        </w:rPr>
        <w:t xml:space="preserve"> </w:t>
      </w:r>
      <w:proofErr w:type="spellStart"/>
      <w:r w:rsidRPr="00CC04AD">
        <w:rPr>
          <w:bCs/>
        </w:rPr>
        <w:t>pandangan</w:t>
      </w:r>
      <w:proofErr w:type="spellEnd"/>
      <w:r w:rsidRPr="00CC04AD">
        <w:rPr>
          <w:bCs/>
        </w:rPr>
        <w:t xml:space="preserve"> </w:t>
      </w:r>
      <w:proofErr w:type="spellStart"/>
      <w:r w:rsidRPr="00CC04AD">
        <w:rPr>
          <w:bCs/>
        </w:rPr>
        <w:t>dari</w:t>
      </w:r>
      <w:proofErr w:type="spellEnd"/>
      <w:r w:rsidRPr="00CC04AD">
        <w:rPr>
          <w:bCs/>
        </w:rPr>
        <w:t xml:space="preserve"> agama </w:t>
      </w:r>
      <w:proofErr w:type="spellStart"/>
      <w:r w:rsidRPr="00CC04AD">
        <w:rPr>
          <w:bCs/>
        </w:rPr>
        <w:t>atau</w:t>
      </w:r>
      <w:proofErr w:type="spellEnd"/>
      <w:r w:rsidRPr="00CC04AD">
        <w:rPr>
          <w:bCs/>
        </w:rPr>
        <w:t xml:space="preserve"> </w:t>
      </w:r>
      <w:proofErr w:type="spellStart"/>
      <w:r w:rsidRPr="00CC04AD">
        <w:rPr>
          <w:bCs/>
        </w:rPr>
        <w:t>ajaran</w:t>
      </w:r>
      <w:proofErr w:type="spellEnd"/>
      <w:r w:rsidRPr="00CC04AD">
        <w:rPr>
          <w:bCs/>
        </w:rPr>
        <w:t xml:space="preserve"> </w:t>
      </w:r>
      <w:proofErr w:type="spellStart"/>
      <w:r w:rsidRPr="00CC04AD">
        <w:rPr>
          <w:bCs/>
        </w:rPr>
        <w:t>sebelumnya</w:t>
      </w:r>
      <w:proofErr w:type="spellEnd"/>
      <w:r w:rsidRPr="00CC04AD">
        <w:rPr>
          <w:bCs/>
        </w:rPr>
        <w:t>.</w:t>
      </w:r>
      <w:proofErr w:type="gramEnd"/>
      <w:r w:rsidRPr="00CC04AD">
        <w:rPr>
          <w:bCs/>
        </w:rPr>
        <w:t xml:space="preserve"> </w:t>
      </w:r>
      <w:proofErr w:type="spellStart"/>
      <w:r w:rsidRPr="00CC04AD">
        <w:rPr>
          <w:bCs/>
        </w:rPr>
        <w:t>Namun</w:t>
      </w:r>
      <w:proofErr w:type="spellEnd"/>
      <w:r w:rsidRPr="00CC04AD">
        <w:rPr>
          <w:bCs/>
        </w:rPr>
        <w:t xml:space="preserve">, </w:t>
      </w:r>
      <w:proofErr w:type="spellStart"/>
      <w:r w:rsidRPr="00CC04AD">
        <w:rPr>
          <w:bCs/>
        </w:rPr>
        <w:t>ada</w:t>
      </w:r>
      <w:proofErr w:type="spellEnd"/>
      <w:r w:rsidRPr="00CC04AD">
        <w:rPr>
          <w:bCs/>
        </w:rPr>
        <w:t xml:space="preserve"> </w:t>
      </w:r>
      <w:proofErr w:type="spellStart"/>
      <w:r w:rsidRPr="00CC04AD">
        <w:rPr>
          <w:bCs/>
        </w:rPr>
        <w:t>tokoh</w:t>
      </w:r>
      <w:proofErr w:type="spellEnd"/>
      <w:r w:rsidRPr="00CC04AD">
        <w:rPr>
          <w:bCs/>
        </w:rPr>
        <w:t xml:space="preserve"> </w:t>
      </w:r>
      <w:proofErr w:type="spellStart"/>
      <w:r w:rsidRPr="00CC04AD">
        <w:rPr>
          <w:bCs/>
        </w:rPr>
        <w:t>orientalis</w:t>
      </w:r>
      <w:proofErr w:type="spellEnd"/>
      <w:r w:rsidRPr="00CC04AD">
        <w:rPr>
          <w:bCs/>
        </w:rPr>
        <w:t xml:space="preserve"> y</w:t>
      </w:r>
      <w:bookmarkStart w:id="0" w:name="_GoBack"/>
      <w:bookmarkEnd w:id="0"/>
      <w:r w:rsidRPr="00CC04AD">
        <w:rPr>
          <w:bCs/>
        </w:rPr>
        <w:t xml:space="preserve">ang </w:t>
      </w:r>
      <w:proofErr w:type="spellStart"/>
      <w:r w:rsidRPr="00CC04AD">
        <w:rPr>
          <w:bCs/>
        </w:rPr>
        <w:t>mengatakan</w:t>
      </w:r>
      <w:proofErr w:type="spellEnd"/>
      <w:r w:rsidRPr="00CC04AD">
        <w:rPr>
          <w:bCs/>
        </w:rPr>
        <w:t xml:space="preserve"> </w:t>
      </w:r>
      <w:proofErr w:type="spellStart"/>
      <w:r w:rsidRPr="00CC04AD">
        <w:rPr>
          <w:bCs/>
        </w:rPr>
        <w:t>bahwa</w:t>
      </w:r>
      <w:proofErr w:type="spellEnd"/>
      <w:r w:rsidRPr="00CC04AD">
        <w:rPr>
          <w:bCs/>
        </w:rPr>
        <w:t xml:space="preserve"> </w:t>
      </w:r>
      <w:proofErr w:type="spellStart"/>
      <w:r w:rsidRPr="00CC04AD">
        <w:rPr>
          <w:bCs/>
          <w:i/>
        </w:rPr>
        <w:t>millah</w:t>
      </w:r>
      <w:proofErr w:type="spellEnd"/>
      <w:r w:rsidRPr="00CC04AD">
        <w:rPr>
          <w:bCs/>
          <w:i/>
        </w:rPr>
        <w:t xml:space="preserve"> </w:t>
      </w:r>
      <w:proofErr w:type="spellStart"/>
      <w:r w:rsidRPr="00CC04AD">
        <w:rPr>
          <w:bCs/>
        </w:rPr>
        <w:t>bukan</w:t>
      </w:r>
      <w:proofErr w:type="spellEnd"/>
      <w:r w:rsidRPr="00CC04AD">
        <w:rPr>
          <w:bCs/>
        </w:rPr>
        <w:t xml:space="preserve"> agama </w:t>
      </w:r>
      <w:proofErr w:type="spellStart"/>
      <w:r w:rsidRPr="00CC04AD">
        <w:rPr>
          <w:bCs/>
        </w:rPr>
        <w:t>tetapi</w:t>
      </w:r>
      <w:proofErr w:type="spellEnd"/>
      <w:r w:rsidRPr="00CC04AD">
        <w:rPr>
          <w:bCs/>
        </w:rPr>
        <w:t xml:space="preserve"> </w:t>
      </w:r>
      <w:proofErr w:type="spellStart"/>
      <w:r w:rsidRPr="00CC04AD">
        <w:rPr>
          <w:bCs/>
        </w:rPr>
        <w:t>hanya</w:t>
      </w:r>
      <w:proofErr w:type="spellEnd"/>
      <w:r w:rsidRPr="00CC04AD">
        <w:rPr>
          <w:bCs/>
        </w:rPr>
        <w:t xml:space="preserve"> </w:t>
      </w:r>
      <w:proofErr w:type="spellStart"/>
      <w:r w:rsidRPr="00CC04AD">
        <w:rPr>
          <w:bCs/>
        </w:rPr>
        <w:t>sekte.</w:t>
      </w:r>
      <w:r>
        <w:rPr>
          <w:bCs/>
        </w:rPr>
        <w:t>P</w:t>
      </w:r>
      <w:r w:rsidRPr="00CC04AD">
        <w:rPr>
          <w:bCs/>
        </w:rPr>
        <w:t>ermasalahan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didapat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kedua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pernyataan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tersebut</w:t>
      </w:r>
      <w:proofErr w:type="spellEnd"/>
      <w:r w:rsidRPr="00CC04AD">
        <w:rPr>
          <w:bCs/>
        </w:rPr>
        <w:t xml:space="preserve">: (1.) </w:t>
      </w:r>
      <w:proofErr w:type="spellStart"/>
      <w:r w:rsidRPr="00CC04AD">
        <w:rPr>
          <w:lang w:val="en-GB"/>
        </w:rPr>
        <w:t>Bagaimana</w:t>
      </w:r>
      <w:proofErr w:type="spellEnd"/>
      <w:r w:rsidRPr="00CC04AD">
        <w:rPr>
          <w:lang w:val="en-GB"/>
        </w:rPr>
        <w:t xml:space="preserve"> Al-Qur’an </w:t>
      </w:r>
      <w:proofErr w:type="spellStart"/>
      <w:r w:rsidRPr="00CC04AD">
        <w:rPr>
          <w:lang w:val="en-GB"/>
        </w:rPr>
        <w:t>memaknai</w:t>
      </w:r>
      <w:proofErr w:type="spellEnd"/>
      <w:r w:rsidRPr="00CC04AD">
        <w:rPr>
          <w:lang w:val="en-GB"/>
        </w:rPr>
        <w:t xml:space="preserve"> term </w:t>
      </w:r>
      <w:proofErr w:type="spellStart"/>
      <w:r w:rsidRPr="00CC04AD">
        <w:rPr>
          <w:i/>
          <w:iCs/>
          <w:lang w:val="en-GB"/>
        </w:rPr>
        <w:t>Millah</w:t>
      </w:r>
      <w:proofErr w:type="spellEnd"/>
      <w:r w:rsidRPr="00CC04AD">
        <w:rPr>
          <w:szCs w:val="28"/>
          <w:lang w:val="en-GB"/>
        </w:rPr>
        <w:t>?</w:t>
      </w:r>
      <w:r>
        <w:t xml:space="preserve"> </w:t>
      </w:r>
      <w:proofErr w:type="spellStart"/>
      <w:proofErr w:type="gramStart"/>
      <w:r>
        <w:t>dan</w:t>
      </w:r>
      <w:proofErr w:type="spellEnd"/>
      <w:proofErr w:type="gramEnd"/>
      <w:r>
        <w:t xml:space="preserve"> (2.) </w:t>
      </w:r>
      <w:proofErr w:type="spellStart"/>
      <w:r w:rsidRPr="00CC04AD">
        <w:rPr>
          <w:lang w:val="en-GB"/>
        </w:rPr>
        <w:t>Bagaimana</w:t>
      </w:r>
      <w:proofErr w:type="spellEnd"/>
      <w:r w:rsidRPr="00CC04AD">
        <w:rPr>
          <w:lang w:val="en-GB"/>
        </w:rPr>
        <w:t xml:space="preserve"> </w:t>
      </w:r>
      <w:proofErr w:type="spellStart"/>
      <w:r w:rsidRPr="00CC04AD">
        <w:rPr>
          <w:lang w:val="en-GB"/>
        </w:rPr>
        <w:t>analisis</w:t>
      </w:r>
      <w:proofErr w:type="spellEnd"/>
      <w:r w:rsidRPr="00CC04AD">
        <w:rPr>
          <w:lang w:val="en-GB"/>
        </w:rPr>
        <w:t xml:space="preserve"> </w:t>
      </w:r>
      <w:proofErr w:type="spellStart"/>
      <w:r w:rsidRPr="00CC04AD">
        <w:rPr>
          <w:lang w:val="en-GB"/>
        </w:rPr>
        <w:t>semantik</w:t>
      </w:r>
      <w:proofErr w:type="spellEnd"/>
      <w:r w:rsidRPr="00CC04AD">
        <w:rPr>
          <w:lang w:val="en-GB"/>
        </w:rPr>
        <w:t xml:space="preserve"> Toshihiko </w:t>
      </w:r>
      <w:proofErr w:type="spellStart"/>
      <w:r w:rsidRPr="00CC04AD">
        <w:rPr>
          <w:lang w:val="en-GB"/>
        </w:rPr>
        <w:t>Izutsu</w:t>
      </w:r>
      <w:proofErr w:type="spellEnd"/>
      <w:r w:rsidRPr="00CC04AD">
        <w:rPr>
          <w:lang w:val="en-GB"/>
        </w:rPr>
        <w:t xml:space="preserve"> </w:t>
      </w:r>
      <w:proofErr w:type="spellStart"/>
      <w:r w:rsidRPr="00CC04AD">
        <w:rPr>
          <w:lang w:val="en-GB"/>
        </w:rPr>
        <w:t>atas</w:t>
      </w:r>
      <w:proofErr w:type="spellEnd"/>
      <w:r w:rsidRPr="00CC04AD">
        <w:rPr>
          <w:lang w:val="en-GB"/>
        </w:rPr>
        <w:t xml:space="preserve"> term </w:t>
      </w:r>
      <w:proofErr w:type="spellStart"/>
      <w:r w:rsidRPr="00CC04AD">
        <w:rPr>
          <w:i/>
          <w:iCs/>
          <w:lang w:val="en-GB"/>
        </w:rPr>
        <w:t>Millah</w:t>
      </w:r>
      <w:proofErr w:type="spellEnd"/>
      <w:r w:rsidRPr="00CC04AD">
        <w:rPr>
          <w:i/>
          <w:iCs/>
          <w:lang w:val="en-GB"/>
        </w:rPr>
        <w:t xml:space="preserve"> </w:t>
      </w:r>
      <w:proofErr w:type="spellStart"/>
      <w:r w:rsidRPr="00CC04AD">
        <w:rPr>
          <w:lang w:val="en-GB"/>
        </w:rPr>
        <w:t>dalam</w:t>
      </w:r>
      <w:proofErr w:type="spellEnd"/>
      <w:r w:rsidRPr="00CC04AD">
        <w:rPr>
          <w:lang w:val="en-GB"/>
        </w:rPr>
        <w:t xml:space="preserve"> </w:t>
      </w:r>
      <w:r w:rsidRPr="00CC04AD">
        <w:rPr>
          <w:szCs w:val="28"/>
        </w:rPr>
        <w:t>Al-Qur’an</w:t>
      </w:r>
      <w:r w:rsidRPr="00CC04AD">
        <w:rPr>
          <w:lang w:val="en-GB"/>
        </w:rPr>
        <w:t>?</w:t>
      </w:r>
    </w:p>
    <w:p w:rsidR="00AB60BB" w:rsidRDefault="00AB60BB" w:rsidP="00AB60BB">
      <w:pPr>
        <w:spacing w:line="240" w:lineRule="auto"/>
        <w:ind w:firstLine="567"/>
        <w:jc w:val="both"/>
        <w:rPr>
          <w:lang w:val="id-ID"/>
        </w:rPr>
      </w:pPr>
      <w:proofErr w:type="spellStart"/>
      <w:r>
        <w:rPr>
          <w:lang w:val="en-GB"/>
        </w:rPr>
        <w:t>Penelitian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menggunakan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metode</w:t>
      </w:r>
      <w:proofErr w:type="spellEnd"/>
      <w:r>
        <w:rPr>
          <w:lang w:val="en-GB"/>
        </w:rPr>
        <w:t xml:space="preserve"> </w:t>
      </w:r>
      <w:r>
        <w:rPr>
          <w:i/>
          <w:lang w:val="en-GB"/>
        </w:rPr>
        <w:t xml:space="preserve">library research </w:t>
      </w:r>
      <w:proofErr w:type="spellStart"/>
      <w:r>
        <w:rPr>
          <w:lang w:val="en-GB"/>
        </w:rPr>
        <w:t>dengan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pendekatan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semantik</w:t>
      </w:r>
      <w:proofErr w:type="spellEnd"/>
      <w:r>
        <w:rPr>
          <w:lang w:val="en-GB"/>
        </w:rPr>
        <w:t xml:space="preserve"> Toshihiko </w:t>
      </w:r>
      <w:proofErr w:type="spellStart"/>
      <w:r>
        <w:rPr>
          <w:lang w:val="en-GB"/>
        </w:rPr>
        <w:t>Izutsu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dengan</w:t>
      </w:r>
      <w:proofErr w:type="spellEnd"/>
      <w:r>
        <w:rPr>
          <w:lang w:val="en-GB"/>
        </w:rPr>
        <w:t xml:space="preserve"> </w:t>
      </w:r>
      <w:r>
        <w:rPr>
          <w:lang w:val="id-ID"/>
        </w:rPr>
        <w:t xml:space="preserve">menentukan tema, </w:t>
      </w:r>
      <w:proofErr w:type="spellStart"/>
      <w:r>
        <w:rPr>
          <w:lang w:val="en-GB"/>
        </w:rPr>
        <w:t>menganalisis</w:t>
      </w:r>
      <w:proofErr w:type="spellEnd"/>
      <w:r>
        <w:rPr>
          <w:lang w:val="en-GB"/>
        </w:rPr>
        <w:t xml:space="preserve"> kata </w:t>
      </w:r>
      <w:proofErr w:type="spellStart"/>
      <w:r>
        <w:rPr>
          <w:lang w:val="en-GB"/>
        </w:rPr>
        <w:t>kunci</w:t>
      </w:r>
      <w:proofErr w:type="spellEnd"/>
      <w:r>
        <w:rPr>
          <w:lang w:val="id-ID"/>
        </w:rPr>
        <w:t>, menentukan makna dasar dan relasional, serta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ditutup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dengan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pandangan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dunia</w:t>
      </w:r>
      <w:proofErr w:type="spellEnd"/>
      <w:r>
        <w:rPr>
          <w:lang w:val="en-GB"/>
        </w:rPr>
        <w:t xml:space="preserve"> (</w:t>
      </w:r>
      <w:r w:rsidRPr="000D7EC9">
        <w:rPr>
          <w:i/>
          <w:iCs/>
          <w:lang w:val="id-ID"/>
        </w:rPr>
        <w:t>Welthanschauung</w:t>
      </w:r>
      <w:r>
        <w:rPr>
          <w:i/>
          <w:iCs/>
        </w:rPr>
        <w:t xml:space="preserve">) </w:t>
      </w:r>
      <w:proofErr w:type="spellStart"/>
      <w:r>
        <w:rPr>
          <w:iCs/>
        </w:rPr>
        <w:t>serta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pesan</w:t>
      </w:r>
      <w:proofErr w:type="spellEnd"/>
      <w:r>
        <w:rPr>
          <w:iCs/>
        </w:rPr>
        <w:t>.</w:t>
      </w:r>
      <w:r>
        <w:rPr>
          <w:iCs/>
          <w:lang w:val="id-ID"/>
        </w:rPr>
        <w:t xml:space="preserve"> Penelitian ini menggunakan teori makna, terebih teori </w:t>
      </w:r>
      <w:r>
        <w:rPr>
          <w:lang w:val="id-ID"/>
        </w:rPr>
        <w:t>behavioral</w:t>
      </w:r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penentuan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r>
        <w:rPr>
          <w:lang w:val="id-ID"/>
        </w:rPr>
        <w:t>keadaan</w:t>
      </w:r>
      <w:r>
        <w:t>.</w:t>
      </w:r>
      <w:r>
        <w:rPr>
          <w:lang w:val="id-ID"/>
        </w:rPr>
        <w:t xml:space="preserve"> Mengingat </w:t>
      </w:r>
      <w:proofErr w:type="spellStart"/>
      <w:r>
        <w:t>bahasa</w:t>
      </w:r>
      <w:proofErr w:type="spellEnd"/>
      <w:r>
        <w:t xml:space="preserve"> Al-Qur’an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Arab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dilatar</w:t>
      </w:r>
      <w:proofErr w:type="spellEnd"/>
      <w:r>
        <w:t xml:space="preserve"> </w:t>
      </w:r>
      <w:proofErr w:type="spellStart"/>
      <w:r>
        <w:t>belakangi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Arab yang </w:t>
      </w:r>
      <w:proofErr w:type="spellStart"/>
      <w:r>
        <w:t>beragam</w:t>
      </w:r>
      <w:proofErr w:type="spellEnd"/>
      <w:r>
        <w:rPr>
          <w:lang w:val="id-ID"/>
        </w:rPr>
        <w:t>.</w:t>
      </w:r>
    </w:p>
    <w:p w:rsidR="00AB60BB" w:rsidRPr="00077615" w:rsidRDefault="00AB60BB" w:rsidP="00AB60BB">
      <w:pPr>
        <w:spacing w:line="240" w:lineRule="auto"/>
        <w:ind w:firstLine="567"/>
        <w:jc w:val="both"/>
        <w:rPr>
          <w:lang w:val="id-ID"/>
        </w:rPr>
      </w:pPr>
      <w:proofErr w:type="spellStart"/>
      <w:proofErr w:type="gramStart"/>
      <w:r>
        <w:rPr>
          <w:lang w:val="en-GB"/>
        </w:rPr>
        <w:t>Hasil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penelitian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ialah</w:t>
      </w:r>
      <w:proofErr w:type="spellEnd"/>
      <w:r>
        <w:rPr>
          <w:lang w:val="en-GB"/>
        </w:rPr>
        <w:t xml:space="preserve"> term </w:t>
      </w:r>
      <w:proofErr w:type="spellStart"/>
      <w:r>
        <w:rPr>
          <w:i/>
          <w:lang w:val="en-GB"/>
        </w:rPr>
        <w:t>millah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lang w:val="en-GB"/>
        </w:rPr>
        <w:t>disebutkan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sebanyak</w:t>
      </w:r>
      <w:proofErr w:type="spellEnd"/>
      <w:r>
        <w:rPr>
          <w:lang w:val="en-GB"/>
        </w:rPr>
        <w:t xml:space="preserve"> 15 kali </w:t>
      </w:r>
      <w:proofErr w:type="spellStart"/>
      <w:r>
        <w:rPr>
          <w:lang w:val="en-GB"/>
        </w:rPr>
        <w:t>dalam</w:t>
      </w:r>
      <w:proofErr w:type="spellEnd"/>
      <w:r>
        <w:rPr>
          <w:lang w:val="en-GB"/>
        </w:rPr>
        <w:t xml:space="preserve"> Al-Qur’an.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Berdasarkan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turunnya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ayat</w:t>
      </w:r>
      <w:proofErr w:type="spellEnd"/>
      <w:r>
        <w:rPr>
          <w:lang w:val="en-GB"/>
        </w:rPr>
        <w:t xml:space="preserve">, </w:t>
      </w:r>
      <w:proofErr w:type="spellStart"/>
      <w:r>
        <w:rPr>
          <w:i/>
          <w:lang w:val="en-GB"/>
        </w:rPr>
        <w:t>millah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lang w:val="en-GB"/>
        </w:rPr>
        <w:t>diturunkan</w:t>
      </w:r>
      <w:proofErr w:type="spellEnd"/>
      <w:r>
        <w:rPr>
          <w:lang w:val="en-GB"/>
        </w:rPr>
        <w:t xml:space="preserve"> Di </w:t>
      </w:r>
      <w:proofErr w:type="spellStart"/>
      <w:r>
        <w:rPr>
          <w:lang w:val="en-GB"/>
        </w:rPr>
        <w:t>Makkah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sebanyak</w:t>
      </w:r>
      <w:proofErr w:type="spellEnd"/>
      <w:r>
        <w:rPr>
          <w:lang w:val="en-GB"/>
        </w:rPr>
        <w:t xml:space="preserve"> 10 </w:t>
      </w:r>
      <w:proofErr w:type="spellStart"/>
      <w:r>
        <w:rPr>
          <w:lang w:val="en-GB"/>
        </w:rPr>
        <w:t>ayat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dan</w:t>
      </w:r>
      <w:proofErr w:type="spellEnd"/>
      <w:r>
        <w:rPr>
          <w:lang w:val="en-GB"/>
        </w:rPr>
        <w:t xml:space="preserve"> 5 </w:t>
      </w:r>
      <w:proofErr w:type="spellStart"/>
      <w:r>
        <w:rPr>
          <w:lang w:val="en-GB"/>
        </w:rPr>
        <w:t>ayat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lain</w:t>
      </w:r>
      <w:proofErr w:type="spellEnd"/>
      <w:r>
        <w:rPr>
          <w:lang w:val="en-GB"/>
        </w:rPr>
        <w:t xml:space="preserve"> Di </w:t>
      </w:r>
      <w:proofErr w:type="spellStart"/>
      <w:r>
        <w:rPr>
          <w:lang w:val="en-GB"/>
        </w:rPr>
        <w:t>Madinah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dalam</w:t>
      </w:r>
      <w:proofErr w:type="spellEnd"/>
      <w:r>
        <w:rPr>
          <w:lang w:val="en-GB"/>
        </w:rPr>
        <w:t xml:space="preserve"> 11 surah  </w:t>
      </w:r>
      <w:proofErr w:type="spellStart"/>
      <w:r>
        <w:rPr>
          <w:lang w:val="en-GB"/>
        </w:rPr>
        <w:t>berbeda</w:t>
      </w:r>
      <w:proofErr w:type="spellEnd"/>
      <w:r>
        <w:rPr>
          <w:lang w:val="en-GB"/>
        </w:rPr>
        <w:t xml:space="preserve">, ke-15 </w:t>
      </w:r>
      <w:proofErr w:type="spellStart"/>
      <w:r>
        <w:rPr>
          <w:lang w:val="en-GB"/>
        </w:rPr>
        <w:t>ayat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tersebut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ialah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dalam</w:t>
      </w:r>
      <w:proofErr w:type="spellEnd"/>
      <w:r>
        <w:rPr>
          <w:lang w:val="en-GB"/>
        </w:rPr>
        <w:t xml:space="preserve"> surah </w:t>
      </w:r>
      <w:r>
        <w:rPr>
          <w:rFonts w:asciiTheme="majorBidi" w:hAnsiTheme="majorBidi" w:cstheme="majorBidi"/>
          <w:szCs w:val="24"/>
          <w:lang w:val="id-ID"/>
        </w:rPr>
        <w:t>Ṣād</w:t>
      </w:r>
      <w:r>
        <w:rPr>
          <w:rFonts w:asciiTheme="majorBidi" w:hAnsiTheme="majorBidi" w:cstheme="majorBidi"/>
          <w:szCs w:val="24"/>
        </w:rPr>
        <w:t xml:space="preserve"> (38): 7, </w:t>
      </w:r>
      <w:r w:rsidRPr="00101258">
        <w:rPr>
          <w:rFonts w:asciiTheme="majorBidi" w:hAnsiTheme="majorBidi" w:cstheme="majorBidi"/>
          <w:szCs w:val="24"/>
          <w:lang w:val="id-ID"/>
        </w:rPr>
        <w:t>Yūsuf</w:t>
      </w:r>
      <w:r>
        <w:rPr>
          <w:rFonts w:asciiTheme="majorBidi" w:hAnsiTheme="majorBidi" w:cstheme="majorBidi"/>
          <w:szCs w:val="24"/>
        </w:rPr>
        <w:t xml:space="preserve"> (12): 37-38, </w:t>
      </w:r>
      <w:r w:rsidRPr="00101258">
        <w:rPr>
          <w:rFonts w:asciiTheme="majorBidi" w:hAnsiTheme="majorBidi" w:cstheme="majorBidi"/>
          <w:szCs w:val="24"/>
          <w:lang w:val="id-ID"/>
        </w:rPr>
        <w:t>Al-An’ām</w:t>
      </w:r>
      <w:r>
        <w:rPr>
          <w:rFonts w:asciiTheme="majorBidi" w:hAnsiTheme="majorBidi" w:cstheme="majorBidi"/>
          <w:szCs w:val="24"/>
        </w:rPr>
        <w:t xml:space="preserve"> (6): 161, </w:t>
      </w:r>
      <w:r w:rsidRPr="00101258">
        <w:rPr>
          <w:rFonts w:asciiTheme="majorBidi" w:hAnsiTheme="majorBidi" w:cstheme="majorBidi"/>
          <w:szCs w:val="24"/>
          <w:lang w:val="id-ID"/>
        </w:rPr>
        <w:t>An-Nahl</w:t>
      </w:r>
      <w:r>
        <w:rPr>
          <w:rFonts w:asciiTheme="majorBidi" w:hAnsiTheme="majorBidi" w:cstheme="majorBidi"/>
          <w:szCs w:val="24"/>
        </w:rPr>
        <w:t xml:space="preserve"> (16): 123, </w:t>
      </w:r>
      <w:r w:rsidRPr="00101258">
        <w:rPr>
          <w:rFonts w:asciiTheme="majorBidi" w:hAnsiTheme="majorBidi" w:cstheme="majorBidi"/>
          <w:szCs w:val="24"/>
          <w:lang w:val="id-ID"/>
        </w:rPr>
        <w:t>Al-A’raf</w:t>
      </w:r>
      <w:r>
        <w:rPr>
          <w:rFonts w:asciiTheme="majorBidi" w:hAnsiTheme="majorBidi" w:cstheme="majorBidi"/>
          <w:szCs w:val="24"/>
        </w:rPr>
        <w:t xml:space="preserve"> (7): 88-89, </w:t>
      </w:r>
      <w:r>
        <w:rPr>
          <w:lang w:val="id-ID"/>
        </w:rPr>
        <w:t>Ibr</w:t>
      </w:r>
      <w:r>
        <w:rPr>
          <w:rFonts w:cs="Times New Roman"/>
          <w:lang w:val="id-ID"/>
        </w:rPr>
        <w:t>ā</w:t>
      </w:r>
      <w:r>
        <w:rPr>
          <w:lang w:val="id-ID"/>
        </w:rPr>
        <w:t xml:space="preserve">hīm </w:t>
      </w:r>
      <w:r>
        <w:rPr>
          <w:rFonts w:asciiTheme="majorBidi" w:hAnsiTheme="majorBidi" w:cstheme="majorBidi"/>
          <w:szCs w:val="24"/>
        </w:rPr>
        <w:t xml:space="preserve">(14): 13, </w:t>
      </w:r>
      <w:r w:rsidRPr="00101258">
        <w:rPr>
          <w:rFonts w:asciiTheme="majorBidi" w:hAnsiTheme="majorBidi" w:cstheme="majorBidi"/>
          <w:szCs w:val="24"/>
          <w:lang w:val="id-ID"/>
        </w:rPr>
        <w:t>Al-Kahfi</w:t>
      </w:r>
      <w:r>
        <w:rPr>
          <w:rFonts w:asciiTheme="majorBidi" w:hAnsiTheme="majorBidi" w:cstheme="majorBidi"/>
          <w:szCs w:val="24"/>
        </w:rPr>
        <w:t xml:space="preserve"> (18): 20,</w:t>
      </w:r>
      <w:r w:rsidRPr="00101258">
        <w:rPr>
          <w:rFonts w:asciiTheme="majorBidi" w:hAnsiTheme="majorBidi" w:cstheme="majorBidi"/>
          <w:szCs w:val="24"/>
          <w:lang w:val="id-ID"/>
        </w:rPr>
        <w:t xml:space="preserve"> Al-Baqarah</w:t>
      </w:r>
      <w:r>
        <w:rPr>
          <w:rFonts w:asciiTheme="majorBidi" w:hAnsiTheme="majorBidi" w:cstheme="majorBidi"/>
          <w:szCs w:val="24"/>
        </w:rPr>
        <w:t xml:space="preserve"> (2): 120, 130, 135, </w:t>
      </w:r>
      <w:r w:rsidRPr="00101258">
        <w:rPr>
          <w:rFonts w:asciiTheme="majorBidi" w:hAnsiTheme="majorBidi" w:cstheme="majorBidi"/>
          <w:szCs w:val="24"/>
          <w:lang w:val="id-ID"/>
        </w:rPr>
        <w:t>Ali ‘Imrān</w:t>
      </w:r>
      <w:r>
        <w:rPr>
          <w:rFonts w:asciiTheme="majorBidi" w:hAnsiTheme="majorBidi" w:cstheme="majorBidi"/>
          <w:szCs w:val="24"/>
        </w:rPr>
        <w:t xml:space="preserve"> (3): 95, </w:t>
      </w:r>
      <w:r>
        <w:rPr>
          <w:rFonts w:asciiTheme="majorBidi" w:hAnsiTheme="majorBidi" w:cstheme="majorBidi"/>
          <w:szCs w:val="24"/>
          <w:lang w:val="id-ID"/>
        </w:rPr>
        <w:t>Al-Nis</w:t>
      </w:r>
      <w:r>
        <w:rPr>
          <w:szCs w:val="24"/>
          <w:lang w:val="id-ID"/>
        </w:rPr>
        <w:t>ā</w:t>
      </w:r>
      <w:r>
        <w:rPr>
          <w:rFonts w:asciiTheme="majorBidi" w:hAnsiTheme="majorBidi" w:cstheme="majorBidi"/>
          <w:szCs w:val="24"/>
          <w:lang w:val="id-ID"/>
        </w:rPr>
        <w:t>’</w:t>
      </w:r>
      <w:r>
        <w:rPr>
          <w:rFonts w:asciiTheme="majorBidi" w:hAnsiTheme="majorBidi" w:cstheme="majorBidi"/>
          <w:szCs w:val="24"/>
        </w:rPr>
        <w:t xml:space="preserve"> (4): 125, </w:t>
      </w:r>
      <w:proofErr w:type="spellStart"/>
      <w:r>
        <w:rPr>
          <w:rFonts w:asciiTheme="majorBidi" w:hAnsiTheme="majorBidi" w:cstheme="majorBidi"/>
          <w:szCs w:val="24"/>
        </w:rPr>
        <w:t>dan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r w:rsidRPr="00101258">
        <w:rPr>
          <w:rFonts w:asciiTheme="majorBidi" w:hAnsiTheme="majorBidi" w:cstheme="majorBidi"/>
          <w:szCs w:val="24"/>
          <w:lang w:val="id-ID"/>
        </w:rPr>
        <w:t>Al-Hajj</w:t>
      </w:r>
      <w:r>
        <w:rPr>
          <w:rFonts w:asciiTheme="majorBidi" w:hAnsiTheme="majorBidi" w:cstheme="majorBidi"/>
          <w:szCs w:val="24"/>
        </w:rPr>
        <w:t xml:space="preserve"> (22): 78.</w:t>
      </w:r>
      <w:r>
        <w:rPr>
          <w:rFonts w:asciiTheme="majorBidi" w:hAnsiTheme="majorBidi" w:cstheme="majorBidi"/>
          <w:i/>
          <w:szCs w:val="24"/>
        </w:rPr>
        <w:t xml:space="preserve">Millah </w:t>
      </w:r>
      <w:proofErr w:type="spellStart"/>
      <w:r>
        <w:rPr>
          <w:lang w:val="en-GB"/>
        </w:rPr>
        <w:t>dengan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makna</w:t>
      </w:r>
      <w:proofErr w:type="spellEnd"/>
      <w:r>
        <w:rPr>
          <w:lang w:val="en-GB"/>
        </w:rPr>
        <w:t xml:space="preserve"> yang </w:t>
      </w:r>
      <w:proofErr w:type="spellStart"/>
      <w:r>
        <w:rPr>
          <w:lang w:val="en-GB"/>
        </w:rPr>
        <w:t>tidak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jauh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berbeda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mengarah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cerita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atau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pandangan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hidup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seorang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nabi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umatnya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Pada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dasarnya</w:t>
      </w:r>
      <w:proofErr w:type="spellEnd"/>
      <w:r>
        <w:rPr>
          <w:lang w:val="en-GB"/>
        </w:rPr>
        <w:t xml:space="preserve"> </w:t>
      </w:r>
      <w:proofErr w:type="spellStart"/>
      <w:r>
        <w:rPr>
          <w:i/>
          <w:lang w:val="en-GB"/>
        </w:rPr>
        <w:t>millah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lang w:val="en-GB"/>
        </w:rPr>
        <w:t>ialah</w:t>
      </w:r>
      <w:proofErr w:type="spellEnd"/>
      <w:r>
        <w:rPr>
          <w:lang w:val="en-GB"/>
        </w:rPr>
        <w:t xml:space="preserve"> </w:t>
      </w:r>
      <w:r>
        <w:rPr>
          <w:i/>
          <w:iCs/>
          <w:lang w:val="id-ID"/>
        </w:rPr>
        <w:t xml:space="preserve">dīn </w:t>
      </w:r>
      <w:r>
        <w:rPr>
          <w:lang w:val="id-ID"/>
        </w:rPr>
        <w:t>(agama)</w:t>
      </w:r>
      <w:r>
        <w:rPr>
          <w:i/>
          <w:iCs/>
          <w:lang w:val="id-ID"/>
        </w:rPr>
        <w:t>, syarī</w:t>
      </w:r>
      <w:r>
        <w:rPr>
          <w:rFonts w:cs="Times New Roman"/>
          <w:i/>
          <w:iCs/>
          <w:lang w:val="id-ID"/>
        </w:rPr>
        <w:t>’</w:t>
      </w:r>
      <w:r>
        <w:rPr>
          <w:i/>
          <w:iCs/>
          <w:lang w:val="id-ID"/>
        </w:rPr>
        <w:t xml:space="preserve">at </w:t>
      </w:r>
      <w:r>
        <w:rPr>
          <w:lang w:val="id-ID"/>
        </w:rPr>
        <w:t xml:space="preserve">(jalan/cara)dan </w:t>
      </w:r>
      <w:r>
        <w:rPr>
          <w:i/>
          <w:iCs/>
          <w:lang w:val="id-ID"/>
        </w:rPr>
        <w:t xml:space="preserve">tharīq </w:t>
      </w:r>
      <w:r>
        <w:rPr>
          <w:lang w:val="id-ID"/>
        </w:rPr>
        <w:t>(jalan</w:t>
      </w:r>
      <w:r>
        <w:t xml:space="preserve">), </w:t>
      </w:r>
      <w:r w:rsidRPr="00832294">
        <w:rPr>
          <w:i/>
          <w:iCs/>
          <w:lang w:val="id-ID"/>
        </w:rPr>
        <w:t xml:space="preserve">sunnah </w:t>
      </w:r>
      <w:r w:rsidRPr="00832294">
        <w:rPr>
          <w:iCs/>
          <w:lang w:val="id-ID"/>
        </w:rPr>
        <w:t>(sunah)</w:t>
      </w:r>
      <w:r w:rsidRPr="00832294">
        <w:rPr>
          <w:i/>
          <w:iCs/>
          <w:lang w:val="id-ID"/>
        </w:rPr>
        <w:t xml:space="preserve">, syay’u </w:t>
      </w:r>
      <w:r w:rsidRPr="00832294">
        <w:rPr>
          <w:iCs/>
          <w:lang w:val="id-ID"/>
        </w:rPr>
        <w:t>(tersebar/tersiar)</w:t>
      </w:r>
      <w:r w:rsidRPr="00832294">
        <w:rPr>
          <w:i/>
          <w:iCs/>
          <w:lang w:val="id-ID"/>
        </w:rPr>
        <w:t>, addiyah</w:t>
      </w:r>
      <w:r>
        <w:rPr>
          <w:i/>
          <w:iCs/>
        </w:rPr>
        <w:t xml:space="preserve"> </w:t>
      </w:r>
      <w:r w:rsidRPr="0024558B">
        <w:rPr>
          <w:lang w:val="id-ID"/>
        </w:rPr>
        <w:t>(</w:t>
      </w:r>
      <w:proofErr w:type="spellStart"/>
      <w:r>
        <w:t>denda</w:t>
      </w:r>
      <w:proofErr w:type="spellEnd"/>
      <w:r>
        <w:t>/</w:t>
      </w:r>
      <w:proofErr w:type="spellStart"/>
      <w:r>
        <w:t>tebusan</w:t>
      </w:r>
      <w:proofErr w:type="spellEnd"/>
      <w:r w:rsidRPr="0024558B">
        <w:rPr>
          <w:lang w:val="id-ID"/>
        </w:rPr>
        <w:t>)</w:t>
      </w:r>
      <w:r w:rsidRPr="00832294">
        <w:rPr>
          <w:i/>
          <w:iCs/>
          <w:lang w:val="id-ID"/>
        </w:rPr>
        <w:t xml:space="preserve">, ummatin </w:t>
      </w:r>
      <w:r w:rsidRPr="00832294">
        <w:rPr>
          <w:iCs/>
          <w:lang w:val="id-ID"/>
        </w:rPr>
        <w:t>(umat), jalan, masuk, memeluk, menganut, persa</w:t>
      </w:r>
      <w:r>
        <w:rPr>
          <w:iCs/>
          <w:lang w:val="id-ID"/>
        </w:rPr>
        <w:t>h</w:t>
      </w:r>
      <w:r w:rsidRPr="00832294">
        <w:rPr>
          <w:iCs/>
          <w:lang w:val="id-ID"/>
        </w:rPr>
        <w:t>abatan, sumber yang tulus dari akhirat, bergegas masuk, kepercayaan, sekte dan tulisan/dekte</w:t>
      </w:r>
      <w:r>
        <w:rPr>
          <w:iCs/>
          <w:lang w:val="id-ID"/>
        </w:rPr>
        <w:t>.</w:t>
      </w:r>
      <w:r w:rsidRPr="000D7EC9">
        <w:rPr>
          <w:i/>
          <w:iCs/>
          <w:lang w:val="id-ID"/>
        </w:rPr>
        <w:t>Welthanschauung</w:t>
      </w:r>
      <w:r>
        <w:rPr>
          <w:lang w:val="id-ID"/>
        </w:rPr>
        <w:t xml:space="preserve"> dari </w:t>
      </w:r>
      <w:r>
        <w:rPr>
          <w:i/>
          <w:iCs/>
          <w:lang w:val="id-ID"/>
        </w:rPr>
        <w:t xml:space="preserve">millah </w:t>
      </w:r>
      <w:r>
        <w:rPr>
          <w:lang w:val="id-ID"/>
        </w:rPr>
        <w:t xml:space="preserve">berdasarkan 15 ayat dalam Al-Qur’an yang mengandung term tersebut ialah </w:t>
      </w:r>
      <w:r>
        <w:rPr>
          <w:i/>
          <w:iCs/>
          <w:lang w:val="id-ID"/>
        </w:rPr>
        <w:t xml:space="preserve">dīn </w:t>
      </w:r>
      <w:r>
        <w:rPr>
          <w:lang w:val="id-ID"/>
        </w:rPr>
        <w:t xml:space="preserve">(agama), </w:t>
      </w:r>
      <w:r w:rsidRPr="00C676B0">
        <w:rPr>
          <w:i/>
          <w:iCs/>
          <w:lang w:val="id-ID"/>
        </w:rPr>
        <w:t>ʽ</w:t>
      </w:r>
      <w:r>
        <w:rPr>
          <w:i/>
          <w:iCs/>
          <w:lang w:val="id-ID"/>
        </w:rPr>
        <w:t xml:space="preserve">aqīdah </w:t>
      </w:r>
      <w:r>
        <w:rPr>
          <w:lang w:val="id-ID"/>
        </w:rPr>
        <w:t xml:space="preserve">(keyakinan/kepercayaan) dan </w:t>
      </w:r>
      <w:r>
        <w:rPr>
          <w:i/>
          <w:iCs/>
          <w:lang w:val="id-ID"/>
        </w:rPr>
        <w:t>Syarīʽah</w:t>
      </w:r>
      <w:r>
        <w:rPr>
          <w:lang w:val="id-ID"/>
        </w:rPr>
        <w:t xml:space="preserve"> (jalan/ajaran/aturan) yang dibawa oleh nabi dan diikuti oleh kaumnya untuk memperjelas ajaran yang dibawa oleh nabi Muhammad. </w:t>
      </w:r>
      <w:r w:rsidRPr="00077615">
        <w:rPr>
          <w:i/>
          <w:iCs/>
          <w:lang w:val="id-ID"/>
        </w:rPr>
        <w:t xml:space="preserve">Millah </w:t>
      </w:r>
      <w:r w:rsidRPr="00077615">
        <w:rPr>
          <w:lang w:val="id-ID"/>
        </w:rPr>
        <w:t>memberikan pesan yang sangat identik dengan kepercayaan yang harus ditekankan lebih karena sebagai dasar untuk menekuni perbuatan lain yang mengiringi. Agama hanya sebatas wacana apabila tidak diisi dengan perilaku</w:t>
      </w:r>
      <w:r>
        <w:rPr>
          <w:lang w:val="id-ID"/>
        </w:rPr>
        <w:t xml:space="preserve"> dan sikap yang mencerminkannya. Penelitian ini membantah pandangan Theodor Noldleke yang mengidentifikasi </w:t>
      </w:r>
      <w:r>
        <w:rPr>
          <w:i/>
          <w:iCs/>
          <w:lang w:val="id-ID"/>
        </w:rPr>
        <w:t xml:space="preserve">millah </w:t>
      </w:r>
      <w:r>
        <w:rPr>
          <w:lang w:val="id-ID"/>
        </w:rPr>
        <w:t xml:space="preserve">dengan sebatas sekte dan penelitian ini membuktikan pergeseran makna </w:t>
      </w:r>
      <w:r>
        <w:rPr>
          <w:i/>
          <w:iCs/>
          <w:lang w:val="id-ID"/>
        </w:rPr>
        <w:t xml:space="preserve">millah </w:t>
      </w:r>
      <w:r>
        <w:rPr>
          <w:lang w:val="id-ID"/>
        </w:rPr>
        <w:t>dari masa ke masa tertentu.</w:t>
      </w:r>
    </w:p>
    <w:p w:rsidR="00592970" w:rsidRPr="00AB60BB" w:rsidRDefault="00592970">
      <w:pPr>
        <w:rPr>
          <w:lang w:val="id-ID"/>
        </w:rPr>
      </w:pPr>
    </w:p>
    <w:sectPr w:rsidR="00592970" w:rsidRPr="00AB60BB" w:rsidSect="00AB60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68C" w:rsidRDefault="00E6368C" w:rsidP="00AB60BB">
      <w:pPr>
        <w:spacing w:line="240" w:lineRule="auto"/>
      </w:pPr>
      <w:r>
        <w:separator/>
      </w:r>
    </w:p>
  </w:endnote>
  <w:endnote w:type="continuationSeparator" w:id="0">
    <w:p w:rsidR="00E6368C" w:rsidRDefault="00E6368C" w:rsidP="00AB6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25" w:rsidRDefault="008944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356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60BB" w:rsidRDefault="00AB60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63A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AB60BB" w:rsidRDefault="00AB60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25" w:rsidRDefault="00894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68C" w:rsidRDefault="00E6368C" w:rsidP="00AB60BB">
      <w:pPr>
        <w:spacing w:line="240" w:lineRule="auto"/>
      </w:pPr>
      <w:r>
        <w:separator/>
      </w:r>
    </w:p>
  </w:footnote>
  <w:footnote w:type="continuationSeparator" w:id="0">
    <w:p w:rsidR="00E6368C" w:rsidRDefault="00E6368C" w:rsidP="00AB60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25" w:rsidRDefault="008944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25" w:rsidRDefault="008944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25" w:rsidRDefault="008944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BB"/>
    <w:rsid w:val="000F40D7"/>
    <w:rsid w:val="00592970"/>
    <w:rsid w:val="00894425"/>
    <w:rsid w:val="009E563A"/>
    <w:rsid w:val="00AB60BB"/>
    <w:rsid w:val="00E6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BB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0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0BB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AB60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0BB"/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BB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0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0BB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AB60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0BB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5A0B8-EFDC-42DC-A5E4-4B4F75DE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Alif</dc:creator>
  <cp:lastModifiedBy>Alif</cp:lastModifiedBy>
  <cp:revision>3</cp:revision>
  <cp:lastPrinted>2023-11-15T00:18:00Z</cp:lastPrinted>
  <dcterms:created xsi:type="dcterms:W3CDTF">2023-11-15T00:17:00Z</dcterms:created>
  <dcterms:modified xsi:type="dcterms:W3CDTF">2023-11-15T00:22:00Z</dcterms:modified>
</cp:coreProperties>
</file>