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psmdcp" ContentType="application/vnd.openxmlformats-package.core-properties+xml"/>
  <Default Extension="rels" ContentType="application/vnd.openxmlformats-package.relationships+xml"/>
  <Override PartName="/word/settings.xml" ContentType="application/vnd.openxmlformats-officedocument.wordprocessingml.settings+xml"/>
  <Override PartName="/word/footer1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5b6638f2815c4c83" /><Relationship Type="http://schemas.openxmlformats.org/package/2006/relationships/metadata/core-properties" Target="/package/services/metadata/core-properties/0ad913d5e16b485daa91e0750cd503d8.psmdcp" Id="R1c16ed3d923b4e31" 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spacing w:before="20" w:line="230" w:lineRule="auto"/>
        <w:ind/>
        <w:jc w:val="center"/>
        <w:rPr>
          <w:sz w:val="27"/>
        </w:rPr>
      </w:pPr>
      <w:r>
        <w:rPr>
          <w:rFonts w:hint="eastAsia" w:ascii="Calibri" w:hAnsi="Calibri" w:eastAsia="Calibri"/>
          <w:b/>
          <w:color w:val="000000"/>
          <w:sz w:val="27"/>
        </w:rPr>
        <w:t xml:space="preserve">ABSTRAK</w:t>
      </w:r>
    </w:p>
    <w:p>
      <w:pPr>
        <w:spacing w:line="240" w:lineRule="auto"/>
        <w:ind w:firstLine="0"/>
        <w:jc w:val="both"/>
        <w:rPr>
          <w:sz w:val="21"/>
        </w:rPr>
        <w:rPr>
          <w:rFonts w:hint="eastAsia" w:ascii="SimSun" w:hAnsi="SimSun" w:eastAsia="SimSun"/>
          <w:color w:val="000000"/>
          <w:sz w:val="21"/>
        </w:rPr>
      </w:pPr>
    </w:p>
    <w:p>
      <w:pPr>
        <w:spacing w:before="30" w:line="307" w:lineRule="auto"/>
        <w:ind w:right="40" w:firstLine="0"/>
        <w:jc w:val="both"/>
        <w:rPr>
          <w:sz w:val="25"/>
        </w:rPr>
      </w:pPr>
      <w:r>
        <w:rPr>
          <w:rFonts w:hint="eastAsia" w:ascii="Calibri" w:hAnsi="Calibri" w:eastAsia="Calibri"/>
          <w:color w:val="000000"/>
          <w:sz w:val="25"/>
        </w:rPr>
        <w:t xml:space="preserve">Moh Sobrun </w:t>
      </w:r>
      <w:r>
        <w:rPr>
          <w:rFonts w:hint="eastAsia" w:ascii="Calibri" w:hAnsi="Calibri" w:eastAsia="Calibri"/>
          <w:i/>
          <w:color w:val="000000"/>
          <w:sz w:val="25"/>
        </w:rPr>
        <w:t xml:space="preserve">Adi</w:t>
      </w:r>
      <w:r>
        <w:rPr>
          <w:rFonts w:hint="eastAsia" w:ascii="Calibri" w:hAnsi="Calibri" w:eastAsia="Calibri"/>
          <w:color w:val="000000"/>
          <w:sz w:val="25"/>
        </w:rPr>
        <w:t xml:space="preserve"> Pratama </w:t>
      </w:r>
      <w:r>
        <w:rPr>
          <w:rFonts w:hint="eastAsia" w:ascii="Calibri" w:hAnsi="Calibri" w:eastAsia="Calibri"/>
          <w:i/>
          <w:color w:val="000000"/>
          <w:sz w:val="25"/>
        </w:rPr>
        <w:t xml:space="preserve">2023,Perumpamaan Orang Kafir Dan Orang Mukmin</w:t>
      </w:r>
      <w:r>
        <w:rPr>
          <w:rFonts w:hint="eastAsia" w:ascii="Calibri" w:hAnsi="Calibri" w:eastAsia="Calibri"/>
          <w:color w:val="000000"/>
          <w:sz w:val="25"/>
        </w:rPr>
        <w:t xml:space="preserve"> </w:t>
      </w:r>
      <w:r>
        <w:rPr>
          <w:rFonts w:hint="eastAsia" w:ascii="Calibri" w:hAnsi="Calibri" w:eastAsia="Calibri"/>
          <w:i/>
          <w:color w:val="000000"/>
          <w:sz w:val="25"/>
        </w:rPr>
        <w:t xml:space="preserve">Dalam Tafsir Hidāyatul Insān Bi Tafsiril Qur'ān karya Marwān Bin Mūsă",</w:t>
      </w:r>
      <w:r>
        <w:rPr>
          <w:rFonts w:hint="eastAsia" w:ascii="Calibri" w:hAnsi="Calibri" w:eastAsia="Calibri"/>
          <w:color w:val="000000"/>
          <w:sz w:val="25"/>
        </w:rPr>
        <w:t xml:space="preserve">Skripsi,Ilmu Al-Qur'an dan Tafsir, Fakultas Ushuluddin dan Dakwah, Institut </w:t>
      </w:r>
      <w:r>
        <w:rPr>
          <w:rFonts w:hint="eastAsia" w:ascii="Calibri" w:hAnsi="Calibri" w:eastAsia="Calibri"/>
          <w:color w:val="000000"/>
          <w:sz w:val="25"/>
        </w:rPr>
        <w:t xml:space="preserve">Agama Islam Negeri (IAIN)Madura,Dosen Pembimbing:Dr.Putri Alfia Halida,</w:t>
      </w:r>
      <w:r>
        <w:rPr>
          <w:rFonts w:hint="eastAsia" w:ascii="Calibri" w:hAnsi="Calibri" w:eastAsia="Calibri"/>
          <w:color w:val="000000"/>
          <w:sz w:val="25"/>
        </w:rPr>
        <w:t xml:space="preserve">Lc.,M.Th.I</w:t>
      </w:r>
    </w:p>
    <w:p>
      <w:pPr>
        <w:spacing w:before="5" w:line="239" w:lineRule="auto"/>
        <w:ind w:firstLine="20"/>
        <w:jc w:val="both"/>
        <w:rPr>
          <w:sz w:val="25"/>
        </w:rPr>
      </w:pPr>
      <w:r>
        <w:rPr>
          <w:rFonts w:hint="eastAsia" w:ascii="Calibri" w:hAnsi="Calibri" w:eastAsia="Calibri"/>
          <w:b/>
          <w:color w:val="000000"/>
          <w:sz w:val="25"/>
        </w:rPr>
        <w:t xml:space="preserve">Kata</w:t>
      </w:r>
      <w:r>
        <w:rPr>
          <w:rFonts w:hint="eastAsia" w:ascii="Calibri" w:hAnsi="Calibri" w:eastAsia="Calibri"/>
          <w:b/>
          <w:i/>
          <w:color w:val="000000"/>
          <w:sz w:val="25"/>
        </w:rPr>
        <w:t xml:space="preserve"> </w:t>
      </w:r>
      <w:r>
        <w:rPr>
          <w:rFonts w:hint="eastAsia" w:ascii="Calibri" w:hAnsi="Calibri" w:eastAsia="Calibri"/>
          <w:b/>
          <w:color w:val="000000"/>
          <w:sz w:val="25"/>
        </w:rPr>
        <w:t xml:space="preserve">Kunci</w:t>
      </w:r>
      <w:r>
        <w:rPr>
          <w:rFonts w:hint="eastAsia" w:ascii="Calibri" w:hAnsi="Calibri" w:eastAsia="Calibri"/>
          <w:color w:val="000000"/>
          <w:sz w:val="25"/>
        </w:rPr>
        <w:t xml:space="preserve"> </w:t>
      </w:r>
      <w:r>
        <w:rPr>
          <w:rFonts w:hint="eastAsia" w:ascii="Calibri" w:hAnsi="Calibri" w:eastAsia="Calibri"/>
          <w:b/>
          <w:i/>
          <w:color w:val="000000"/>
          <w:sz w:val="25"/>
        </w:rPr>
        <w:t xml:space="preserve">: Kafir, Mukmin, Tafsir Hidayatul Insan</w:t>
      </w:r>
    </w:p>
    <w:p>
      <w:pPr>
        <w:spacing w:before="20" w:line="244" w:lineRule="auto"/>
        <w:ind w:right="40" w:firstLine="1540"/>
        <w:jc w:val="both"/>
        <w:rPr>
          <w:sz w:val="25"/>
        </w:rPr>
      </w:pPr>
      <w:r>
        <w:rPr>
          <w:rFonts w:hint="eastAsia" w:ascii="Calibri" w:hAnsi="Calibri" w:eastAsia="Calibri"/>
          <w:color w:val="000000"/>
          <w:sz w:val="25"/>
        </w:rPr>
        <w:t xml:space="preserve">Kafir berarti menutup dan berarti orang yang menutup dirinya dari </w:t>
      </w:r>
      <w:r>
        <w:rPr>
          <w:rFonts w:hint="eastAsia" w:ascii="Calibri" w:hAnsi="Calibri" w:eastAsia="Calibri"/>
          <w:color w:val="000000"/>
          <w:sz w:val="25"/>
        </w:rPr>
        <w:t xml:space="preserve">jalur serta petunjuk Allah SWT.Mukmin berasal dari bahasa arab dari kata </w:t>
      </w:r>
      <w:r>
        <w:rPr>
          <w:rFonts w:hint="eastAsia" w:ascii="Calibri" w:hAnsi="Calibri" w:eastAsia="Calibri"/>
          <w:i/>
          <w:color w:val="000000"/>
          <w:sz w:val="25"/>
        </w:rPr>
        <w:t xml:space="preserve">āmana</w:t>
      </w:r>
      <w:r>
        <w:rPr>
          <w:rFonts w:hint="eastAsia" w:ascii="Calibri" w:hAnsi="Calibri" w:eastAsia="Calibri"/>
          <w:color w:val="000000"/>
          <w:sz w:val="25"/>
        </w:rPr>
        <w:t xml:space="preserve"> </w:t>
      </w:r>
      <w:r>
        <w:rPr>
          <w:rFonts w:hint="eastAsia" w:ascii="Calibri" w:hAnsi="Calibri" w:eastAsia="Calibri"/>
          <w:color w:val="000000"/>
          <w:sz w:val="25"/>
        </w:rPr>
        <w:t xml:space="preserve">,</w:t>
      </w:r>
      <w:r>
        <w:rPr>
          <w:rFonts w:hint="eastAsia" w:ascii="Calibri" w:hAnsi="Calibri" w:eastAsia="Calibri"/>
          <w:i/>
          <w:color w:val="000000"/>
          <w:sz w:val="25"/>
        </w:rPr>
        <w:t xml:space="preserve"> yu'minu, imānan,</w:t>
      </w:r>
      <w:r>
        <w:rPr>
          <w:rFonts w:hint="eastAsia" w:ascii="Calibri" w:hAnsi="Calibri" w:eastAsia="Calibri"/>
          <w:color w:val="000000"/>
          <w:sz w:val="25"/>
        </w:rPr>
        <w:t xml:space="preserve"> yang maksudnya beriman ataupun orang yang beriman. Kata </w:t>
      </w:r>
      <w:r>
        <w:rPr>
          <w:rFonts w:hint="eastAsia" w:ascii="Calibri" w:hAnsi="Calibri" w:eastAsia="Calibri"/>
          <w:color w:val="000000"/>
          <w:sz w:val="25"/>
        </w:rPr>
        <w:t xml:space="preserve">mukmin sering menjadi problem seiring berkembangnya pemikiran para penganut </w:t>
      </w:r>
      <w:r>
        <w:rPr>
          <w:rFonts w:hint="eastAsia" w:ascii="Calibri" w:hAnsi="Calibri" w:eastAsia="Calibri"/>
          <w:color w:val="000000"/>
          <w:sz w:val="25"/>
        </w:rPr>
        <w:t xml:space="preserve">agama, sehingga lahirlah beberapa pandangan tentang siapa golongan kafir dan </w:t>
      </w:r>
      <w:r>
        <w:rPr>
          <w:rFonts w:hint="eastAsia" w:ascii="Calibri" w:hAnsi="Calibri" w:eastAsia="Calibri"/>
          <w:color w:val="000000"/>
          <w:sz w:val="25"/>
        </w:rPr>
        <w:t xml:space="preserve">mukmin sejati. Penelitian ini bertujuan untuk menjawab dua rumusan masalah </w:t>
      </w:r>
      <w:r>
        <w:rPr>
          <w:rFonts w:hint="eastAsia" w:ascii="Calibri" w:hAnsi="Calibri" w:eastAsia="Calibri"/>
          <w:color w:val="000000"/>
          <w:sz w:val="25"/>
        </w:rPr>
        <w:t xml:space="preserve">terkait ayat-ayat perumpamaan orang kafir dan orang mukmin dalam tafsir </w:t>
      </w:r>
      <w:r>
        <w:rPr>
          <w:rFonts w:hint="eastAsia" w:ascii="Calibri" w:hAnsi="Calibri" w:eastAsia="Calibri"/>
          <w:color w:val="000000"/>
          <w:sz w:val="25"/>
        </w:rPr>
        <w:t xml:space="preserve">hidayatul insan karya Marwān bin Mūsǎ. Berdasarkan hal tersebut terdapat tiga </w:t>
      </w:r>
      <w:r>
        <w:rPr>
          <w:rFonts w:hint="eastAsia" w:ascii="Calibri" w:hAnsi="Calibri" w:eastAsia="Calibri"/>
          <w:color w:val="000000"/>
          <w:sz w:val="25"/>
        </w:rPr>
        <w:t xml:space="preserve">fokus penelitian. Pertama, apa saja ayat yang membahas tentang perumpamaan </w:t>
      </w:r>
      <w:r>
        <w:rPr>
          <w:rFonts w:hint="eastAsia" w:ascii="Calibri" w:hAnsi="Calibri" w:eastAsia="Calibri"/>
          <w:color w:val="000000"/>
          <w:sz w:val="25"/>
        </w:rPr>
        <w:t xml:space="preserve">orang kafir dan orang mukmin dalam Al-Qur'an. Kedua, bagaimana penafsiran </w:t>
      </w:r>
      <w:r>
        <w:rPr>
          <w:rFonts w:hint="eastAsia" w:ascii="Calibri" w:hAnsi="Calibri" w:eastAsia="Calibri"/>
          <w:color w:val="000000"/>
          <w:sz w:val="25"/>
        </w:rPr>
        <w:t xml:space="preserve">ayat-ayat perumpamaan orang kafir dan orang mukmin dalam kitab hidāyatul </w:t>
      </w:r>
      <w:r>
        <w:rPr>
          <w:rFonts w:hint="eastAsia" w:ascii="Calibri" w:hAnsi="Calibri" w:eastAsia="Calibri"/>
          <w:color w:val="000000"/>
          <w:sz w:val="25"/>
        </w:rPr>
        <w:t xml:space="preserve">insān bitafsiril qur'ān karya Marwān Bin Mūsă.</w:t>
      </w:r>
    </w:p>
    <w:p>
      <w:pPr>
        <w:spacing w:line="240" w:lineRule="auto"/>
        <w:ind w:firstLine="0"/>
        <w:jc w:val="both"/>
        <w:rPr>
          <w:sz w:val="21"/>
        </w:rPr>
        <w:rPr>
          <w:rFonts w:hint="eastAsia" w:ascii="SimSun" w:hAnsi="SimSun" w:eastAsia="SimSun"/>
          <w:color w:val="000000"/>
          <w:sz w:val="21"/>
        </w:rPr>
      </w:pPr>
    </w:p>
    <w:p>
      <w:pPr>
        <w:spacing w:before="79" w:line="244" w:lineRule="auto"/>
        <w:ind w:right="40" w:firstLine="660"/>
        <w:jc w:val="both"/>
        <w:rPr>
          <w:sz w:val="25"/>
        </w:rPr>
      </w:pPr>
      <w:r>
        <w:rPr>
          <w:rFonts w:hint="eastAsia" w:ascii="Calibri" w:hAnsi="Calibri" w:eastAsia="Calibri"/>
          <w:color w:val="000000"/>
          <w:sz w:val="25"/>
        </w:rPr>
        <w:t xml:space="preserve">Penelitian ini menggunakan pendekatan tafsir, yakni pendekatan yang </w:t>
      </w:r>
      <w:r>
        <w:rPr>
          <w:rFonts w:hint="eastAsia" w:ascii="Calibri" w:hAnsi="Calibri" w:eastAsia="Calibri"/>
          <w:color w:val="000000"/>
          <w:sz w:val="25"/>
        </w:rPr>
        <w:t xml:space="preserve">digunakan untuk menganalisis suatu teks dalam penafsiran Al-Qur'an. Metode </w:t>
      </w:r>
      <w:r>
        <w:rPr>
          <w:rFonts w:hint="eastAsia" w:ascii="Calibri" w:hAnsi="Calibri" w:eastAsia="Calibri"/>
          <w:color w:val="000000"/>
          <w:sz w:val="25"/>
        </w:rPr>
        <w:t xml:space="preserve">yang digunakan dalam penelitian ini yaitu metode tafsir tematik term, yakni </w:t>
      </w:r>
      <w:r>
        <w:rPr>
          <w:rFonts w:hint="eastAsia" w:ascii="Calibri" w:hAnsi="Calibri" w:eastAsia="Calibri"/>
          <w:color w:val="000000"/>
          <w:sz w:val="25"/>
        </w:rPr>
        <w:t xml:space="preserve">dengan cara memahami Al-Qur'an dengan mengumpulkan ayat-ayat yang setema </w:t>
      </w:r>
      <w:r>
        <w:rPr>
          <w:rFonts w:hint="eastAsia" w:ascii="Calibri" w:hAnsi="Calibri" w:eastAsia="Calibri"/>
          <w:color w:val="000000"/>
          <w:sz w:val="25"/>
        </w:rPr>
        <w:t xml:space="preserve">berdasarkan bentuk kalimat terkait. Dalam hal ini, penulis memilih Marwan bin </w:t>
      </w:r>
      <w:r>
        <w:rPr>
          <w:rFonts w:hint="eastAsia" w:ascii="Calibri" w:hAnsi="Calibri" w:eastAsia="Calibri"/>
          <w:color w:val="000000"/>
          <w:sz w:val="25"/>
        </w:rPr>
        <w:t xml:space="preserve">Mūsā tentang ayat tentang perumpaan orang kafir dan orang mukmin dalam tafsir </w:t>
      </w:r>
      <w:r>
        <w:rPr>
          <w:rFonts w:hint="eastAsia" w:ascii="Calibri" w:hAnsi="Calibri" w:eastAsia="Calibri"/>
          <w:color w:val="000000"/>
          <w:sz w:val="25"/>
        </w:rPr>
        <w:t xml:space="preserve">hidayatul insan.</w:t>
      </w:r>
    </w:p>
    <w:p>
      <w:pPr>
        <w:spacing w:line="240" w:lineRule="auto"/>
        <w:ind w:firstLine="0"/>
        <w:jc w:val="both"/>
        <w:rPr>
          <w:sz w:val="21"/>
        </w:rPr>
        <w:rPr>
          <w:rFonts w:hint="eastAsia" w:ascii="SimSun" w:hAnsi="SimSun" w:eastAsia="SimSun"/>
          <w:color w:val="000000"/>
          <w:sz w:val="21"/>
        </w:rPr>
      </w:pPr>
    </w:p>
    <w:p>
      <w:pPr>
        <w:spacing w:before="61" w:line="273" w:lineRule="auto"/>
        <w:ind w:right="40" w:firstLine="760"/>
        <w:jc w:val="both"/>
        <w:rPr>
          <w:sz w:val="25"/>
        </w:rPr>
      </w:pPr>
      <w:r>
        <w:rPr>
          <w:rFonts w:hint="eastAsia" w:ascii="Calibri" w:hAnsi="Calibri" w:eastAsia="Calibri"/>
          <w:color w:val="000000"/>
          <w:sz w:val="25"/>
        </w:rPr>
        <w:t xml:space="preserve">Hasil penelitian ini menunjukkan bahwa, Pertama,ayat-ayat perumpamaan </w:t>
      </w:r>
      <w:r>
        <w:rPr>
          <w:rFonts w:hint="eastAsia" w:ascii="Calibri" w:hAnsi="Calibri" w:eastAsia="Calibri"/>
          <w:color w:val="000000"/>
          <w:sz w:val="25"/>
        </w:rPr>
        <w:t xml:space="preserve">orang kafir dalam Al-Qur'an Penulis berfokus pada Qs. Al-Baqarah (2): 19,Al-</w:t>
      </w:r>
      <w:r>
        <w:rPr>
          <w:rFonts w:hint="eastAsia" w:ascii="Calibri" w:hAnsi="Calibri" w:eastAsia="Calibri"/>
          <w:color w:val="000000"/>
          <w:sz w:val="25"/>
        </w:rPr>
        <w:t xml:space="preserve">Baqarah (2):26, QS. Al-Baqarah (2): 171, QS.Al-'Ankabut(29):41,QS.An-Nahl </w:t>
      </w:r>
      <w:r>
        <w:rPr>
          <w:rFonts w:hint="eastAsia" w:ascii="Calibri" w:hAnsi="Calibri" w:eastAsia="Calibri"/>
          <w:color w:val="000000"/>
          <w:sz w:val="25"/>
        </w:rPr>
        <w:t xml:space="preserve">(16):75,sedangkan ayat-ayat yang menjelaskan Perumpamaan orang mukmin </w:t>
      </w:r>
      <w:r>
        <w:rPr>
          <w:rFonts w:hint="eastAsia" w:ascii="Calibri" w:hAnsi="Calibri" w:eastAsia="Calibri"/>
          <w:color w:val="000000"/>
          <w:sz w:val="25"/>
        </w:rPr>
        <w:t xml:space="preserve">terdapat pada Qs hud (11): 24, Qs fatir (35): 20,21, 22, QS. Al-Mulk (67): 22.</w:t>
      </w:r>
      <w:r>
        <w:rPr>
          <w:rFonts w:hint="eastAsia" w:ascii="Calibri" w:hAnsi="Calibri" w:eastAsia="Calibri"/>
          <w:color w:val="000000"/>
          <w:sz w:val="25"/>
        </w:rPr>
        <w:t xml:space="preserve">Kedua,perumpamaan orang kafir dalam tafsir</w:t>
      </w:r>
      <w:r>
        <w:rPr>
          <w:rFonts w:hint="eastAsia" w:ascii="Calibri" w:hAnsi="Calibri" w:eastAsia="Calibri"/>
          <w:i/>
          <w:color w:val="000000"/>
          <w:sz w:val="25"/>
        </w:rPr>
        <w:t xml:space="preserve"> hidayatul insan</w:t>
      </w:r>
      <w:r>
        <w:rPr>
          <w:rFonts w:hint="eastAsia" w:ascii="Calibri" w:hAnsi="Calibri" w:eastAsia="Calibri"/>
          <w:color w:val="000000"/>
          <w:sz w:val="25"/>
        </w:rPr>
        <w:t xml:space="preserve"> adalah diumpakan </w:t>
      </w:r>
      <w:r>
        <w:rPr>
          <w:rFonts w:hint="eastAsia" w:ascii="Calibri" w:hAnsi="Calibri" w:eastAsia="Calibri"/>
          <w:color w:val="000000"/>
          <w:sz w:val="25"/>
        </w:rPr>
        <w:t xml:space="preserve">seperti orang yang diselimuti kegelapan, petir dan kilat, seekor nyamuk, buta,tuli </w:t>
      </w:r>
      <w:r>
        <w:rPr>
          <w:rFonts w:hint="eastAsia" w:ascii="Calibri" w:hAnsi="Calibri" w:eastAsia="Calibri"/>
          <w:color w:val="000000"/>
          <w:sz w:val="25"/>
        </w:rPr>
        <w:t xml:space="preserve">dan bisu, anjing, hewan ternak, sedangkan perumpamaan orang mukmin adalah </w:t>
      </w:r>
      <w:r>
        <w:rPr>
          <w:rFonts w:hint="eastAsia" w:ascii="Calibri" w:hAnsi="Calibri" w:eastAsia="Calibri"/>
          <w:color w:val="000000"/>
          <w:sz w:val="25"/>
        </w:rPr>
        <w:t xml:space="preserve">diumpamakan seperti mendengar dan melihat, cahaya, teduh,hidup, dan berjalan </w:t>
      </w:r>
      <w:r>
        <w:rPr>
          <w:rFonts w:hint="eastAsia" w:ascii="Calibri" w:hAnsi="Calibri" w:eastAsia="Calibri"/>
          <w:color w:val="000000"/>
          <w:sz w:val="25"/>
        </w:rPr>
        <w:t xml:space="preserve">tegap.</w:t>
      </w:r>
    </w:p>
    <w:sectPr>
      <w:footerReference w:type="default" r:id="Rb460141cfde54afc"/>
      <w:type w:val="continuous"/>
      <w:pgSz w:w="11900" w:h="18280" w:orient="portrait"/>
      <w:pgMar w:top="2160" w:right="1440" w:bottom="2880" w:left="1440" w:header="1080" w:footer="1440"/>
      <w:cols w:equalWidth="true" w:num="1"/>
    </w:sectPr>
  </w:body>
</w:document>
</file>

<file path=word/footer1.xml><?xml version="1.0" encoding="utf-8"?>
<w:ftr xmlns:w="http://schemas.openxmlformats.org/wordprocessingml/2006/main">
  <w:p>
    <w:pPr>
      <w:spacing w:line="239" w:lineRule="auto"/>
      <w:ind/>
      <w:jc w:val="center"/>
    </w:pPr>
    <w:r>
      <w:rPr>
        <w:sz w:val="25"/>
        <w:color w:val="000000"/>
        <w:rFonts w:hint="eastAsia" w:ascii="Calibri" w:hAnsi="Calibri" w:eastAsia="Calibri"/>
      </w:rPr>
      <w:t xml:space="preserve">iv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0BC8"/>
    <w:rsid w:val="000D6051"/>
    <w:rsid w:val="009F0BE0"/>
    <w:rsid w:val="00BA6D97"/>
    <w:rsid w:val="00BD0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6431983-C890-485F-95E8-B387FD722BBF}"/>
</w: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footer" Target="/word/footer1.xml" Id="Rb460141cfde54afc" /></Relationships>
</file>